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B9F" w:rsidRPr="00957B9F" w:rsidRDefault="00957B9F" w:rsidP="00957B9F">
      <w:pPr>
        <w:spacing w:after="0" w:line="240" w:lineRule="auto"/>
        <w:outlineLvl w:val="1"/>
        <w:rPr>
          <w:rFonts w:ascii="Times New Roman" w:eastAsia="Times New Roman" w:hAnsi="Times New Roman" w:cs="Times New Roman"/>
          <w:b/>
          <w:bCs/>
          <w:color w:val="555555"/>
          <w:sz w:val="19"/>
          <w:szCs w:val="19"/>
        </w:rPr>
      </w:pPr>
      <w:r w:rsidRPr="00957B9F">
        <w:rPr>
          <w:rFonts w:ascii="Times New Roman" w:eastAsia="Times New Roman" w:hAnsi="Times New Roman" w:cs="Times New Roman"/>
          <w:b/>
          <w:bCs/>
          <w:color w:val="555555"/>
          <w:sz w:val="19"/>
          <w:szCs w:val="19"/>
        </w:rPr>
        <w:t>РД 26-17-051-85. Полуавтоматическая сварка в защитных газах нефтехимической аппаратуры из углеродистых и низколегированных сталей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РД</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26-17-051-85</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ПОЛУАВТОМАТИЧЕСКАЯ</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СВАРКА</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В</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ЗАЩИТНЫХ</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ГАЗАХ</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НЕФТЕХИМИЧЕСКОЙ АППАРАТУРЫ</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ИЗ</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УГЛЕРОДИСТЫХ И</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НИЗКОЛЕГИРОВАННЫХ</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СТАЛЕЙ</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jc w:val="right"/>
        <w:rPr>
          <w:rFonts w:ascii="Times New Roman" w:eastAsia="Times New Roman" w:hAnsi="Times New Roman" w:cs="Times New Roman"/>
          <w:color w:val="555555"/>
          <w:sz w:val="17"/>
          <w:szCs w:val="17"/>
        </w:rPr>
      </w:pPr>
      <w:r w:rsidRPr="00957B9F">
        <w:rPr>
          <w:rFonts w:ascii="Times New Roman" w:eastAsia="Times New Roman" w:hAnsi="Times New Roman" w:cs="Times New Roman"/>
          <w:i/>
          <w:iCs/>
          <w:color w:val="555555"/>
          <w:sz w:val="17"/>
          <w:szCs w:val="17"/>
        </w:rPr>
        <w:t>Взамен</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РТМ</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26-245-77</w:t>
      </w:r>
    </w:p>
    <w:p w:rsidR="00957B9F" w:rsidRPr="00957B9F" w:rsidRDefault="00957B9F" w:rsidP="00957B9F">
      <w:pPr>
        <w:spacing w:after="0" w:line="240" w:lineRule="auto"/>
        <w:ind w:firstLine="336"/>
        <w:jc w:val="right"/>
        <w:rPr>
          <w:rFonts w:ascii="Times New Roman" w:eastAsia="Times New Roman" w:hAnsi="Times New Roman" w:cs="Times New Roman"/>
          <w:color w:val="555555"/>
          <w:sz w:val="17"/>
          <w:szCs w:val="17"/>
        </w:rPr>
      </w:pPr>
      <w:r w:rsidRPr="00957B9F">
        <w:rPr>
          <w:rFonts w:ascii="Times New Roman" w:eastAsia="Times New Roman" w:hAnsi="Times New Roman" w:cs="Times New Roman"/>
          <w:i/>
          <w:iCs/>
          <w:color w:val="555555"/>
          <w:sz w:val="17"/>
          <w:szCs w:val="17"/>
        </w:rPr>
        <w:t>Срок</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введения</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установлен</w:t>
      </w:r>
    </w:p>
    <w:p w:rsidR="00957B9F" w:rsidRPr="00957B9F" w:rsidRDefault="00957B9F" w:rsidP="00957B9F">
      <w:pPr>
        <w:spacing w:after="0" w:line="240" w:lineRule="auto"/>
        <w:ind w:firstLine="336"/>
        <w:jc w:val="right"/>
        <w:rPr>
          <w:rFonts w:ascii="Times New Roman" w:eastAsia="Times New Roman" w:hAnsi="Times New Roman" w:cs="Times New Roman"/>
          <w:color w:val="555555"/>
          <w:sz w:val="17"/>
          <w:szCs w:val="17"/>
        </w:rPr>
      </w:pPr>
      <w:r w:rsidRPr="00957B9F">
        <w:rPr>
          <w:rFonts w:ascii="Times New Roman" w:eastAsia="Times New Roman" w:hAnsi="Times New Roman" w:cs="Times New Roman"/>
          <w:i/>
          <w:iCs/>
          <w:color w:val="555555"/>
          <w:sz w:val="17"/>
          <w:szCs w:val="17"/>
        </w:rPr>
        <w:t>с</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1</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января</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1986</w:t>
      </w:r>
      <w:r w:rsidRPr="00957B9F">
        <w:rPr>
          <w:rFonts w:ascii="Times New Roman" w:eastAsia="Times New Roman" w:hAnsi="Times New Roman" w:cs="Times New Roman"/>
          <w:i/>
          <w:iCs/>
          <w:color w:val="555555"/>
          <w:sz w:val="17"/>
        </w:rPr>
        <w:t> </w:t>
      </w:r>
      <w:r w:rsidRPr="00957B9F">
        <w:rPr>
          <w:rFonts w:ascii="Times New Roman" w:eastAsia="Times New Roman" w:hAnsi="Times New Roman" w:cs="Times New Roman"/>
          <w:i/>
          <w:iCs/>
          <w:color w:val="555555"/>
          <w:sz w:val="17"/>
          <w:szCs w:val="17"/>
        </w:rPr>
        <w:t>г.</w:t>
      </w:r>
    </w:p>
    <w:p w:rsidR="00957B9F" w:rsidRPr="00957B9F" w:rsidRDefault="00957B9F" w:rsidP="00957B9F">
      <w:pPr>
        <w:spacing w:after="0" w:line="240" w:lineRule="auto"/>
        <w:ind w:firstLine="336"/>
        <w:jc w:val="right"/>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Настоящий руководящий документ (РД) распространяется на полуавтоматическую сварку плавящимся электродом в углекислом газе (СО</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и смесях защитных газов во всех пространственных положениях швов стыковых, тавровых, угловых и нахлесточных соединений изделий химической, нефтяной, нефтехимической, газовой и других смежных отраслей промышленности из углеродистых и низко-легированных сталей марок:</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ВСт3сп, ВСт3кп, ВСт3пс, ВСт3Гпс по ГОСТ 380-71;</w:t>
      </w:r>
      <w:hyperlink r:id="rId4" w:history="1">
        <w:r w:rsidRPr="00957B9F">
          <w:rPr>
            <w:rFonts w:ascii="Times New Roman" w:eastAsia="Times New Roman" w:hAnsi="Times New Roman" w:cs="Times New Roman"/>
            <w:color w:val="0000CC"/>
            <w:sz w:val="17"/>
          </w:rPr>
          <w:t> </w:t>
        </w:r>
      </w:hyperlink>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10,15,20 по ГОСТ 1050-74;</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20Л, 25Л по ГОСТ 977-75;</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15К, 16K, 18K, 20К, 16ГС, 09Г2С, 10Г2С1 по ГОСТ 5520-79;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10Г2 по ГОСТ 4543-71;</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16ГС, 09Г2С по ГОСТ 19282-73;</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09Г2, 09Г2С по ГОСГГ 19281-73.</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Разработка рабочей технологической документации и сварочные работы должны выполняться в соответствии с требованиями настоящего РД, ОСТ 26-01-82-77 и ОСТ 26-291-79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СОДЕРЖАНИЕ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 Особенности сварки углеродистых и низколегированных сталей в защитных газах.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 Основные материалы.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 Сварочные материалы.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 Сварочное оборудование.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5. Квалификация сварщиков.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 Требования к конструктивным элементам свариваемых кромок, сборке под сварку и размерам выполненных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 Технологические указания по сварке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 Контроль качества 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 Исправление дефектов 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 Требования безопасности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 Перечень наиболее часто встречающихся или возможных неисправностей сварочного оборудования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Литература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1. ОСОБЕННОСТИ СВАРКИ УГЛЕРОДИСТЫХ И НИЗКОЛЕГИРОВАННЫХ СТАЛЕЙ В ЗАЩИТНЫХ ГАЗАХ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     Полуавтоматическая сварка в углекислом газе является наиболее распространенным из применяемых способов сварки в защитных газах, характеризуется высокой производительностью, низкой стоимостью и удовлетворительным качеством сварных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1.2.     Процесс сварки в СО</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сопровождается повышенным разбрызгиванием (до 15%) электродного металла. Брызги засоряют сопло, что может вызвать нарушение защиты зоны сварки и пористость металла шва, привариваются к основному металлу и требуют его последующей зачистки.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1.3.     Процессу сварки в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характерны узкое и глубокое проплавление основного металла, препятствующее хорошей дегазации металла шва и способствующее образованию горячих трещин, усиление шва с более резким переходом к основному металлу, чем при сварке под флюсом.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1.4.     Сварка в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как правило, выполняется проволокой марки Св-08Г2С. Для этой цели можно также использовать проволоки марок Св-08Г2СНТЮР, Св-08ГС, Св-07ГС, обеспечивающие механические свойства сварных соединений и металла швов в соответствии с требованиями ОСТ 26-291-79.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1.5. Сварные швы, выполняемые проволоками марок Св-08ГС и Св-07ГС диаметром</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от 1,6 до 2,0 мм, имеют повышенную склонность к пористости. Поэтому эти проволоки применять для сварки кипящих сталей не рекомендуется.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1.6. Использование в качестве защитной среды смеси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+30%O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позволяет интенсифицировать металлургические процессы в сварочной ванне, выполнять сварку на повышенных скоростях и режимах. Однако добавка 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к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свыше 20% вызывает существенное снижение содержания элементов - раскислителей в металле шва и уменьшают его прочностные и пластические свойства.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1.7. Эффективность сварки в смесях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определяется как производительностью процесса, так и низкой стоимостью защитной среды.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1.8. Добавка кислорода в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способствует измельчению капель электродного металла, снижает их разбрызгивание и набрызгиванию на свариваемые детали, обеспечивает стабильность процесса сварки в широком диапазоне режимов.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1.9.  Смеси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обеспечивают более глубокое, чем в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проплавление основного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1.10.   При сварке в смеси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несколько снижается высота усиления сварных швов, обеспечивается более плавный переход к основному металлу.</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1.11.   Дополнительный шлак, образующийся за счет повышенной окислительной способности защитной среды, несколько увеличивает трудоемкость зачистки, но способствует улучшению формирования и внешнего вида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1.12. При сварке в смесях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достигается более высокая стойкость сварных швов против пор и горячих трещин.</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l.l3. Для сварочной дуги в смесях газов на основе аргона характерна меньшая концентрация энергии, чем</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COв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в в и смесях в COв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в +в Oв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в , швы менее выпуклые, глубина провара меньше.в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1.14. Процессы сварки в смесях Ar + 15...25%CO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и Ar + 15...25% + 1..5%O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характеризуются струйным переносом электродного металла практически без потерь на разбрызгивание и плавным переходом усиления шва к основному металлу.</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1.15. При содержании в аргоне более 25%CO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процесс сварки становится близок по сварочно-технологическим характеристикам процессу сварки в СO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при содержании в смеси менее 15%СO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2"/>
          <w:vertAlign w:val="subscript"/>
        </w:rPr>
        <w:t> </w:t>
      </w:r>
      <w:r w:rsidRPr="00957B9F">
        <w:rPr>
          <w:rFonts w:ascii="Times New Roman" w:eastAsia="Times New Roman" w:hAnsi="Times New Roman" w:cs="Times New Roman"/>
          <w:color w:val="555555"/>
          <w:sz w:val="17"/>
          <w:szCs w:val="17"/>
        </w:rPr>
        <w:t>практически равноценен процессу сварки в аргоне.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1.16. Процессы сварки в смесях, газов на основе аргона обеспечивают наиболее высокое качество сварных соединений и расширяют возможности применения менее, легированных сварочных проволок Св-08ГС и Св-07ГС.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l.17. Для сварки в смесях газов применяются те же сварочные проволоки, что и для сварки в СO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1.18. Сварка в защитных газах проволоками диаметром от 0,8 до 1,4 мм производится во всех пространственных положения.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1.19. Сварку на форсированных режимах (&gt;400А) рекомендуется выполнять полупогруженной дугой, для чего следует снижать напряжение дуги на 2-4 В по отношении к номинальному.</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1.20. Полупогруженная дуга позволяет значительно уменьшить потери металла на разбрызгивание электродного металла и увеличить глубину провара основного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1.21.     Повышенное усиление швов с резким переходом к основному металлу при сварке полупогруженной дугой несколько ограничивает технологические возможности этого процесса.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1.22.     Сварку в защитных газах следует производить, возможно, более короткой дугой. Увеличение длины дуги ухудшает условия её защиты, увеличивает разбрызгивание электродного металла и выгорание легирующих элементов, что может привести к пористости металла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2. ОСНОВНЫЕ МАТЕРИАЛЫ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2.1. Для изготовления сосудов и аппаратов применяется сталь, выплавленная в мартеновских и электрических печах. Допускается применять сталь обыкновенного качества по ГОСТ 380-71 кислородно-конверторного производства.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2.2. По химическому составу и механическим свойствам материалы должны удовлетворять требованиям государственных стандартов, технических условий и ОСТ 26-291-79.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2.3.      Качество и основные характеристики материалов должны быть подтверждены соответствующими сертификатами завода - поставщика.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2.4.      На заводе-изготовителе сосудов и аппаратов материалы до запуска в производство должны быть приняты отделом технического контроля. При приемке проверяются: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соответствие стали условиям заказа, стандартам или техническим условиям и данным сертификата;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соответствие маркировки проката данным сертификата;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качество поверхности проката и его соответствие требованиям стандартов или технических условий.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2.5. При отсутствии сопроводительных сертификатов на материалы, предназначенные для изготовления ответственных сосудов и аппаратом, их испытание надлежит производить на заводе-изготовителе сосудов и аппаратов до запуска в производство в соответствии с требованиями стандартов или технических условий на поставку материала и требованиями технических условий на изделие.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2.6.     В случае отсутствия в сопроводительных сертификатах на материалы отдельных характеристик, регламентированных требованиями стандартов и технических условий, завод-изготовитель до запуска в производство должен провести дополнительные испытания материалов.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2.7.     Независимо от наличия сертификатов рекомендуется производить входной контроль основных материалов по специально разработанным стандартам предприятий.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2.8.     Требования к материалам, виды их испытаний, условия применения, назначение и условия применения должны удовлетворять ОСТ 26 291-79.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3.</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СВАРОЧНЫЕ</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МАТЕРИАЛЫ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 Сварочные материалы, применяемые при изготовлении сосудов и аппаратов, должны удовлетворять требованиям соответствующих стандартов и технических условий.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3.2.     При полуавтоматической сварке в углекислом газе и смесях защитных газов углеродистых и низколегированных сталей следует применять сварочные проволоки, приведенные в табл. 1.</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3.3.     Для сварки может быть использована проволока с омедненной поверхностью. Применение омедненной проволоки способствует увеличений срока службы токоподводящих мундштуков, исключает необходимость зачистки проволоки перед сваркой.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3.4. Каждая партия сварочной проволоки должна быть снабжена сертификатом, удостоверяющим соответствие требованиям ГОСТ 2246-70 или технических условий, в котором должны быть указаны: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товарный знак предприятия-изготовителя;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условное обозначение проволоки;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номер плавки и партии;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состояние поверхности проволоки;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 химический состав в процентах;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результаты испытаний на растяжение;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масса проволоки нетто в килограммах.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1</w:t>
      </w:r>
      <w:r w:rsidRPr="00957B9F">
        <w:rPr>
          <w:rFonts w:ascii="Times New Roman" w:eastAsia="Times New Roman" w:hAnsi="Times New Roman" w:cs="Times New Roman"/>
          <w:color w:val="555555"/>
          <w:sz w:val="17"/>
          <w:szCs w:val="17"/>
        </w:rPr>
        <w:t>. Химический состав сварных проволок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0" w:type="dxa"/>
        <w:tblCellMar>
          <w:left w:w="0" w:type="dxa"/>
          <w:right w:w="0" w:type="dxa"/>
        </w:tblCellMar>
        <w:tblLook w:val="04A0"/>
      </w:tblPr>
      <w:tblGrid>
        <w:gridCol w:w="1611"/>
        <w:gridCol w:w="1111"/>
        <w:gridCol w:w="1073"/>
        <w:gridCol w:w="1173"/>
        <w:gridCol w:w="881"/>
        <w:gridCol w:w="1059"/>
        <w:gridCol w:w="1288"/>
        <w:gridCol w:w="1199"/>
      </w:tblGrid>
      <w:tr w:rsidR="00957B9F" w:rsidRPr="00957B9F" w:rsidTr="00957B9F">
        <w:trPr>
          <w:trHeight w:val="201"/>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Марка проволоки</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Углерод</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Кремний</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Марганец</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Хром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Никель</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Алюминий</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0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Прочие</w:t>
            </w:r>
          </w:p>
        </w:tc>
      </w:tr>
      <w:tr w:rsidR="00957B9F" w:rsidRPr="00957B9F" w:rsidTr="00957B9F">
        <w:trPr>
          <w:trHeight w:val="28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Св-08Г2С</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 ГОСТ 2246-70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0,05-0,11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0,70-0,95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белее 0,20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0,25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r>
      <w:tr w:rsidR="00957B9F" w:rsidRPr="00957B9F" w:rsidTr="00957B9F">
        <w:trPr>
          <w:trHeight w:val="56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Св-08Г2СНТЮР по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ТУ 14-1-3648-83</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0,06-0,11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0,35-0,60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1,7-2,2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0,30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0,02-0,06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Титан 0,15-0,40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Бор не более 0,005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Медь не более 0,25</w:t>
            </w:r>
          </w:p>
        </w:tc>
      </w:tr>
      <w:tr w:rsidR="00957B9F" w:rsidRPr="00957B9F" w:rsidTr="00957B9F">
        <w:trPr>
          <w:trHeight w:val="43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Св-08ГС по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ГОСТ 2246-70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0,60-0,85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1,4-1,7</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0,25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r>
      <w:tr w:rsidR="00957B9F" w:rsidRPr="00957B9F" w:rsidTr="00957B9F">
        <w:trPr>
          <w:trHeight w:val="46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Cв-07ГС по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ТУ 14-1-2963-80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0,03-0, 11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0,60-0,85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1,5-1,9</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 0,20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более</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0,25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0,01-0,05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i/>
          <w:iCs/>
          <w:color w:val="555555"/>
          <w:sz w:val="17"/>
          <w:szCs w:val="17"/>
        </w:rPr>
        <w:t>Примечания:</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1. Содержание серы в проволоке Св-08Г2СНТЮР не более 0,03%, в остальных не более 0,025%, содержание фосфора во всех проволоках не более 0,03%.</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 Допускается применение других сварочных проволок по согласованию с головной организацией при условии, что их технологические и эксплуатационные характеристики не уступают применяемым.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3.5. К каждому мотку проволоки должна быть прикреплена бирка, на которой указываются: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товарный знак предприятия-изготовителя;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условное обозначение и диаметр проволоки;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номер партии;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клеймо технического контроля, удостоверяющее соответствие проволоки требованиям настоящего стандарта.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3.6. Организация хранения, подготовки и контроля сварочных материалов должна осуществляться в соответствия с требованиями РД 26-17-049-85.</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3.7. Поступающая на предприятие сварочная проволока до запуска в производство должна быть принята отделом технического контроля.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 приемке проверяется: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наличие сертификата на поставленную проволоку;</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наличие бирок на мотках и соответствие их данных сертификата;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состояние поверхности проволоки.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3.8. Завод-потребитель имеет право производить контрольную проверку качества поступившей к нему сварочной проволоки на соответствие её показателей требованиям стандарта или технических условий.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3.9. В случае несоответствия данных сертификата данным бирки или отсутствия сертификата завод-потребитель должен проводить анализ химического состава сварочной проволоки, а при необходимости - испытание наплавленного металла или металла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Независимо от наличия сертификатов рекомендуется производить проверку сварочных материалов по специально разработанным на входной контроль стандартам предприятия.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3.10. Сварочная проволока должна иметь чистую и гладкую поверхность: без окалины, ржавчины, масла, смазки и других загрязнений.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 наличии указанных загрязнений необходимо перед сваркой проволоку очистить любым способом, обеспечивающих их удаление. Наиболее высокое качество очистки обеспечивает электрохимический метод, который позволяет полностью удалить загрязнения с поверхности проволоки и повышает её коррозионную стойкость. Перед очисткой проволоку рекомендуется прокалить при 150-200</w:t>
      </w:r>
      <w:r w:rsidRPr="00957B9F">
        <w:rPr>
          <w:rFonts w:ascii="Times New Roman" w:eastAsia="Times New Roman" w:hAnsi="Times New Roman" w:cs="Times New Roman"/>
          <w:color w:val="555555"/>
          <w:sz w:val="12"/>
          <w:szCs w:val="12"/>
          <w:vertAlign w:val="superscript"/>
        </w:rPr>
        <w:t>о</w:t>
      </w:r>
      <w:r w:rsidRPr="00957B9F">
        <w:rPr>
          <w:rFonts w:ascii="Times New Roman" w:eastAsia="Times New Roman" w:hAnsi="Times New Roman" w:cs="Times New Roman"/>
          <w:color w:val="555555"/>
          <w:sz w:val="17"/>
          <w:szCs w:val="17"/>
        </w:rPr>
        <w:t>С в течение 1.0-1.5 ч.</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3.11. Проволока должна храниться и транспортироваться в условиях, предохраняющих ее поверхность от ржавчины, загрязнений и механических повреждении.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3.12. Выбор сварочных материалов для сварки производится в зависимости от температуры эксплуатации сварных конструкций по табл.2.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xml:space="preserve">3.13. Технические требования к сварочной двуокиси углерода определяются ГОСТ 6050-76. Допускается применение пищевой двуокиси углерода по ГОСТ 8050-76 чистотой не ниже 98,8% при взятии пробы из вертикально расположенного </w:t>
      </w:r>
      <w:r w:rsidRPr="00957B9F">
        <w:rPr>
          <w:rFonts w:ascii="Times New Roman" w:eastAsia="Times New Roman" w:hAnsi="Times New Roman" w:cs="Times New Roman"/>
          <w:color w:val="555555"/>
          <w:sz w:val="17"/>
          <w:szCs w:val="17"/>
        </w:rPr>
        <w:lastRenderedPageBreak/>
        <w:t>баллона. Перед использованием пищевой двуокиси углерода следует дать ей отстояться в перевернутом баллоне в течение 10-15 мин, а затем через открытый вентиль выпустить воду за 8-10 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Пищевую двуокись углерода рекомендуется пропускать через осушитель. Силикагель по ГОСТ 8984-75, заполняющий осушитель, должен периодически (не реже одного раза в неделю) прокаливаться при температуре 250°С в течение двух-трех часов. В качестве заменителя силикагеля может использоваться цеолит марки NaA по МРТУ 6-09-6230-69.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Применять для сварки двуокись углерода техническую запрещается.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3.14.    При сварке соединений ответственного назначения рекомендуется использовать непрерывный контроль влажности защитного газа с помощью индикатора ИВ-7.</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3.15.    Для получения смесей защитных газов используется кислород газообразный технический по ГОСТ 5583-78, аргон по ГОСТ 10157-79 и двуокись углерода по п.3.13. Для получения тройной смеси заданного состава рекомендуется использовать жидкую аргонокислородную смесь, содержащую до 9%O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 поставляемую металлургическими предприятиями по ТУ 14-1-2079-77.</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3.16. Поступающие на предприятие защитные газы (двуокись углерода, аргон, кислород) до запуска в производство должны быть приняты ОТН завода. При приемке проверяется соответствие паспортных данных требованиям действующих стандартов. Завод-потребитель имеет право производить проверку химического состава защитных газов и соответствие их данным паспорта.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3.17. Перед использованием газа из каждого баллона следует проверить его качество, для чего наплавляют на пластину валик длиной от 100 до 150 мм. По внешнему виду поверхности наплавки определяют надежность газовой защиты. Если испытываемый газ входит в состав смеси, то и наплавка производится в смеси газов. При наличии пор в направленном металле шва газ, находящийся в баллоне, бракуется.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Сварочные материалы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182" w:type="dxa"/>
        <w:tblCellMar>
          <w:left w:w="0" w:type="dxa"/>
          <w:right w:w="0" w:type="dxa"/>
        </w:tblCellMar>
        <w:tblLook w:val="04A0"/>
      </w:tblPr>
      <w:tblGrid>
        <w:gridCol w:w="2308"/>
        <w:gridCol w:w="1918"/>
        <w:gridCol w:w="1981"/>
        <w:gridCol w:w="3046"/>
      </w:tblGrid>
      <w:tr w:rsidR="00957B9F" w:rsidRPr="00957B9F" w:rsidTr="00957B9F">
        <w:trPr>
          <w:trHeight w:val="369"/>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Марка сварочной проволоки</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Защитная среда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Допускаемая температура применения сварочной проволоки, С</w:t>
            </w:r>
            <w:r w:rsidRPr="00957B9F">
              <w:rPr>
                <w:rFonts w:ascii="Times New Roman" w:eastAsia="Times New Roman" w:hAnsi="Times New Roman" w:cs="Times New Roman"/>
                <w:b/>
                <w:bCs/>
                <w:color w:val="555555"/>
                <w:sz w:val="17"/>
                <w:szCs w:val="17"/>
                <w:vertAlign w:val="superscript"/>
              </w:rPr>
              <w:t>0</w:t>
            </w:r>
            <w:r w:rsidRPr="00957B9F">
              <w:rPr>
                <w:rFonts w:ascii="Times New Roman" w:eastAsia="Times New Roman" w:hAnsi="Times New Roman" w:cs="Times New Roman"/>
                <w:b/>
                <w:bCs/>
                <w:color w:val="555555"/>
                <w:sz w:val="24"/>
                <w:szCs w:val="24"/>
              </w:rPr>
              <w:t>не ниже</w:t>
            </w:r>
          </w:p>
        </w:tc>
      </w:tr>
      <w:tr w:rsidR="00957B9F" w:rsidRPr="00957B9F" w:rsidTr="00957B9F">
        <w:trPr>
          <w:trHeight w:val="56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Св-08Г2C</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Св-08ГС</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Св-07ГС</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CO</w:t>
            </w:r>
            <w:r w:rsidRPr="00957B9F">
              <w:rPr>
                <w:rFonts w:ascii="Times New Roman" w:eastAsia="Times New Roman" w:hAnsi="Times New Roman" w:cs="Times New Roman"/>
                <w:color w:val="555555"/>
                <w:sz w:val="17"/>
                <w:szCs w:val="17"/>
                <w:vertAlign w:val="subscript"/>
              </w:rPr>
              <w:t>2</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CO</w:t>
            </w:r>
            <w:r w:rsidRPr="00957B9F">
              <w:rPr>
                <w:rFonts w:ascii="Times New Roman" w:eastAsia="Times New Roman" w:hAnsi="Times New Roman" w:cs="Times New Roman"/>
                <w:color w:val="555555"/>
                <w:sz w:val="17"/>
                <w:szCs w:val="17"/>
                <w:vertAlign w:val="subscript"/>
              </w:rPr>
              <w:t>2</w:t>
            </w:r>
            <w:r w:rsidRPr="00957B9F">
              <w:rPr>
                <w:rFonts w:ascii="Times New Roman" w:eastAsia="Times New Roman" w:hAnsi="Times New Roman" w:cs="Times New Roman"/>
                <w:color w:val="555555"/>
                <w:sz w:val="24"/>
                <w:szCs w:val="24"/>
              </w:rPr>
              <w:t>+20% O</w:t>
            </w:r>
            <w:r w:rsidRPr="00957B9F">
              <w:rPr>
                <w:rFonts w:ascii="Times New Roman" w:eastAsia="Times New Roman" w:hAnsi="Times New Roman" w:cs="Times New Roman"/>
                <w:color w:val="555555"/>
                <w:sz w:val="17"/>
                <w:szCs w:val="17"/>
                <w:vertAlign w:val="subscript"/>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Минус 40</w:t>
            </w:r>
          </w:p>
        </w:tc>
      </w:tr>
      <w:tr w:rsidR="00957B9F" w:rsidRPr="00957B9F" w:rsidTr="00957B9F">
        <w:trPr>
          <w:trHeight w:val="131"/>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Св-08Г2С</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CO</w:t>
            </w:r>
            <w:r w:rsidRPr="00957B9F">
              <w:rPr>
                <w:rFonts w:ascii="Times New Roman" w:eastAsia="Times New Roman" w:hAnsi="Times New Roman" w:cs="Times New Roman"/>
                <w:color w:val="555555"/>
                <w:sz w:val="17"/>
                <w:szCs w:val="17"/>
                <w:vertAlign w:val="subscript"/>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Минус 60</w:t>
            </w:r>
          </w:p>
        </w:tc>
      </w:tr>
      <w:tr w:rsidR="00957B9F" w:rsidRPr="00957B9F" w:rsidTr="00957B9F">
        <w:trPr>
          <w:cantSplit/>
          <w:trHeight w:val="244"/>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Св-08Г2С</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Св-08ГС</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Св-07ГС</w:t>
            </w: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CO</w:t>
            </w:r>
            <w:r w:rsidRPr="00957B9F">
              <w:rPr>
                <w:rFonts w:ascii="Times New Roman" w:eastAsia="Times New Roman" w:hAnsi="Times New Roman" w:cs="Times New Roman"/>
                <w:color w:val="555555"/>
                <w:sz w:val="17"/>
                <w:szCs w:val="17"/>
                <w:vertAlign w:val="subscript"/>
              </w:rPr>
              <w:t>2</w:t>
            </w: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CO</w:t>
            </w:r>
            <w:r w:rsidRPr="00957B9F">
              <w:rPr>
                <w:rFonts w:ascii="Times New Roman" w:eastAsia="Times New Roman" w:hAnsi="Times New Roman" w:cs="Times New Roman"/>
                <w:color w:val="555555"/>
                <w:sz w:val="17"/>
                <w:szCs w:val="17"/>
                <w:vertAlign w:val="subscript"/>
              </w:rPr>
              <w:t>2</w:t>
            </w:r>
            <w:r w:rsidRPr="00957B9F">
              <w:rPr>
                <w:rFonts w:ascii="Times New Roman" w:eastAsia="Times New Roman" w:hAnsi="Times New Roman" w:cs="Times New Roman"/>
                <w:color w:val="555555"/>
                <w:sz w:val="24"/>
                <w:szCs w:val="24"/>
              </w:rPr>
              <w:t> +20%O</w:t>
            </w:r>
            <w:r w:rsidRPr="00957B9F">
              <w:rPr>
                <w:rFonts w:ascii="Times New Roman" w:eastAsia="Times New Roman" w:hAnsi="Times New Roman" w:cs="Times New Roman"/>
                <w:color w:val="555555"/>
                <w:sz w:val="17"/>
                <w:szCs w:val="17"/>
                <w:vertAlign w:val="subscript"/>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Минус 70 (при условии нормализации сварных соединений)</w:t>
            </w:r>
          </w:p>
        </w:tc>
      </w:tr>
      <w:tr w:rsidR="00957B9F" w:rsidRPr="00957B9F" w:rsidTr="00957B9F">
        <w:trPr>
          <w:cantSplit/>
          <w:trHeight w:val="118"/>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18"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Св-08Г2СНТЮР</w:t>
            </w:r>
          </w:p>
        </w:tc>
        <w:tc>
          <w:tcPr>
            <w:tcW w:w="0" w:type="auto"/>
            <w:vMerge/>
            <w:tcBorders>
              <w:top w:val="nil"/>
              <w:left w:val="nil"/>
              <w:bottom w:val="single" w:sz="8" w:space="0" w:color="auto"/>
              <w:right w:val="single" w:sz="8" w:space="0" w:color="auto"/>
            </w:tcBorders>
            <w:tcMar>
              <w:top w:w="0" w:type="dxa"/>
              <w:left w:w="40" w:type="dxa"/>
              <w:bottom w:w="0" w:type="dxa"/>
              <w:right w:w="40" w:type="dxa"/>
            </w:tcMar>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18"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СO</w:t>
            </w:r>
            <w:r w:rsidRPr="00957B9F">
              <w:rPr>
                <w:rFonts w:ascii="Times New Roman" w:eastAsia="Times New Roman" w:hAnsi="Times New Roman" w:cs="Times New Roman"/>
                <w:color w:val="555555"/>
                <w:sz w:val="17"/>
                <w:szCs w:val="17"/>
                <w:vertAlign w:val="subscript"/>
              </w:rPr>
              <w:t>2</w:t>
            </w: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18"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Минус 70 (без последующей нормализации сварных соединений)</w:t>
            </w:r>
          </w:p>
        </w:tc>
      </w:tr>
      <w:tr w:rsidR="00957B9F" w:rsidRPr="00957B9F" w:rsidTr="00957B9F">
        <w:trPr>
          <w:cantSplit/>
          <w:trHeight w:val="453"/>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Cв-08Г2C</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Св-08ГC</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Св-07ГС</w:t>
            </w: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Ar + 50%CO</w:t>
            </w:r>
            <w:r w:rsidRPr="00957B9F">
              <w:rPr>
                <w:rFonts w:ascii="Times New Roman" w:eastAsia="Times New Roman" w:hAnsi="Times New Roman" w:cs="Times New Roman"/>
                <w:color w:val="555555"/>
                <w:sz w:val="17"/>
                <w:szCs w:val="17"/>
                <w:vertAlign w:val="subscript"/>
              </w:rPr>
              <w:t>2</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Ar+25%CO</w:t>
            </w:r>
            <w:r w:rsidRPr="00957B9F">
              <w:rPr>
                <w:rFonts w:ascii="Times New Roman" w:eastAsia="Times New Roman" w:hAnsi="Times New Roman" w:cs="Times New Roman"/>
                <w:color w:val="555555"/>
                <w:sz w:val="17"/>
                <w:szCs w:val="17"/>
                <w:vertAlign w:val="subscript"/>
              </w:rPr>
              <w:t>2</w:t>
            </w:r>
            <w:r w:rsidRPr="00957B9F">
              <w:rPr>
                <w:rFonts w:ascii="Times New Roman" w:eastAsia="Times New Roman" w:hAnsi="Times New Roman" w:cs="Times New Roman"/>
                <w:color w:val="555555"/>
                <w:sz w:val="24"/>
                <w:szCs w:val="24"/>
              </w:rPr>
              <w:t>+5%O</w:t>
            </w:r>
            <w:r w:rsidRPr="00957B9F">
              <w:rPr>
                <w:rFonts w:ascii="Times New Roman" w:eastAsia="Times New Roman" w:hAnsi="Times New Roman" w:cs="Times New Roman"/>
                <w:color w:val="555555"/>
                <w:sz w:val="17"/>
                <w:szCs w:val="17"/>
                <w:vertAlign w:val="subscript"/>
              </w:rPr>
              <w:t>2</w:t>
            </w: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Примечания: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 Условия применения сварочных материалов определяются с учетом требований</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ОСТ 25-231-79 к основным материалам.1. Условия применения сварочных материалов определяются с учетом требований</w:t>
      </w:r>
      <w:r w:rsidRPr="00957B9F">
        <w:rPr>
          <w:rFonts w:ascii="Times New Roman" w:eastAsia="Times New Roman" w:hAnsi="Times New Roman" w:cs="Times New Roman"/>
          <w:color w:val="555555"/>
          <w:sz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 В обоснованных случаях независимо от условий применения сварных соединений допускается сварку выполнять в смеси на основе аргона с содержанием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менее 50%, но не менее 15%.</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4.</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СВАРОЧНОЕ</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ОБОРУДОВАНИЕ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4.1. При полуавтоматической сварке в углекислом газе и смесях защитных газов должно использоваться сварочное оборудование, обеспечивающее получение заданных руководящим документом режимов сварки, надежность в работе, простоту обслуживания и контроль режимов в процессе работы.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4.2. Перечень сварочного оборудования, применяемого для полуавтоматической сварки в защитных газах, приведен в табл.3 и 4.</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4.3. Колебания напряжения питающей сети, к которой подключено сварочное оборудование, допускаются в пределах ±15%.</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4.4. Питание сварочных постов углекислым газом при их численности более десяти рекомендуется производить централизованно от заводской или цеховой магистрали в соответствии с РТМ 26-325-79 "Оборудование для безбаллонного обеспечения предприятий двуокисью углерода. Выбор и применение".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4.5. При отсутствии на заводе централизованного снабжения углекислым газом каждый сварочный пост должен иметь баллон с углекислым газом и углекислотный редуктор типа У-30 по ТУ 26-05-290-72 с показывающим расходомером.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 использовании газовых смесей каждый пост дополнительно комплектуется баллонами с необходимыми газами и редукторами: АР-40 по ТУ 26-05-196-70 с показывающим расходомером для регулирования подачи аргона и кислородным типа ДКП-2 или БКО по ГОСТ 13861-80 для подачи кислорода.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4.6. При защите дуги двухкомпонентной смесью газов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2"/>
          <w:vertAlign w:val="subscript"/>
        </w:rPr>
        <w:t> </w:t>
      </w:r>
      <w:r w:rsidRPr="00957B9F">
        <w:rPr>
          <w:rFonts w:ascii="Times New Roman" w:eastAsia="Times New Roman" w:hAnsi="Times New Roman" w:cs="Times New Roman"/>
          <w:color w:val="555555"/>
          <w:sz w:val="17"/>
          <w:szCs w:val="17"/>
        </w:rPr>
        <w:t>или Ar+CO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используются однопостовые смесители газов типа УКП-1-71 по ТУ 26-05-298-72. Для одновременного питания смесью более 10 сварочных постов (до 50) рекомендуется рамповый смеситель типа УКР-1-72 по ТУ 26-05-350-73. При защите дуги трехкомпонентной смесью Ar+CO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рекомендуется использовать смеситель типа АКУП-1 по ТУ 26-05-409-74. Каждый пост при однопостовом питании смесями газов укомплектовывается баллонами с газами, необходимыми для приготовления смесей, и редукторами.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4.7. Анализ состава газовых смесей производится газоанализаторами типа ГХП, изготавливаемыми по ГОСТ 6329-74 или ГХП - по ГОСТ 7018-75E.</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3</w:t>
      </w:r>
      <w:r w:rsidRPr="00957B9F">
        <w:rPr>
          <w:rFonts w:ascii="Times New Roman" w:eastAsia="Times New Roman" w:hAnsi="Times New Roman" w:cs="Times New Roman"/>
          <w:color w:val="555555"/>
          <w:sz w:val="17"/>
          <w:szCs w:val="17"/>
        </w:rPr>
        <w:t>. Технические характеристики сварочных полуавтоматов для дуговой сварки плавящимся электродом в защитных газах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CellMar>
          <w:left w:w="0" w:type="dxa"/>
          <w:right w:w="0" w:type="dxa"/>
        </w:tblCellMar>
        <w:tblLook w:val="04A0"/>
      </w:tblPr>
      <w:tblGrid>
        <w:gridCol w:w="1214"/>
        <w:gridCol w:w="1101"/>
        <w:gridCol w:w="1155"/>
        <w:gridCol w:w="1309"/>
        <w:gridCol w:w="796"/>
        <w:gridCol w:w="802"/>
        <w:gridCol w:w="938"/>
        <w:gridCol w:w="1073"/>
        <w:gridCol w:w="993"/>
        <w:gridCol w:w="14"/>
      </w:tblGrid>
      <w:tr w:rsidR="00957B9F" w:rsidRPr="00957B9F" w:rsidTr="00957B9F">
        <w:trPr>
          <w:cantSplit/>
          <w:trHeight w:val="56"/>
        </w:trPr>
        <w:tc>
          <w:tcPr>
            <w:tcW w:w="0" w:type="auto"/>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Тип полуавтомата</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питающей сети, В</w:t>
            </w:r>
          </w:p>
        </w:tc>
        <w:tc>
          <w:tcPr>
            <w:tcW w:w="0" w:type="auto"/>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outlineLvl w:val="1"/>
              <w:rPr>
                <w:rFonts w:ascii="Times New Roman" w:eastAsia="Times New Roman" w:hAnsi="Times New Roman" w:cs="Times New Roman"/>
                <w:b/>
                <w:bCs/>
                <w:color w:val="555555"/>
                <w:sz w:val="19"/>
                <w:szCs w:val="19"/>
              </w:rPr>
            </w:pPr>
            <w:r w:rsidRPr="00957B9F">
              <w:rPr>
                <w:rFonts w:ascii="Times New Roman" w:eastAsia="Times New Roman" w:hAnsi="Times New Roman" w:cs="Times New Roman"/>
                <w:b/>
                <w:bCs/>
                <w:color w:val="555555"/>
                <w:sz w:val="19"/>
                <w:szCs w:val="19"/>
              </w:rPr>
              <w:t>Сварочный ток, А</w:t>
            </w:r>
          </w:p>
        </w:tc>
        <w:tc>
          <w:tcPr>
            <w:tcW w:w="0" w:type="auto"/>
            <w:gridSpan w:val="2"/>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Электродная</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проволока</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Тип источника</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питания</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Габаритные</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размеры подающего механизма, мм</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Масса</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подающего механизма, кг</w:t>
            </w: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6"/>
                <w:szCs w:val="24"/>
              </w:rPr>
            </w:pPr>
          </w:p>
        </w:tc>
      </w:tr>
      <w:tr w:rsidR="00957B9F" w:rsidRPr="00957B9F" w:rsidTr="00957B9F">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номинальное значение</w:t>
            </w: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пределы регулирования</w:t>
            </w:r>
          </w:p>
        </w:tc>
        <w:tc>
          <w:tcPr>
            <w:tcW w:w="0" w:type="auto"/>
            <w:gridSpan w:val="2"/>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24"/>
                <w:szCs w:val="24"/>
              </w:rPr>
            </w:pPr>
          </w:p>
        </w:tc>
      </w:tr>
      <w:tr w:rsidR="00957B9F" w:rsidRPr="00957B9F" w:rsidTr="00957B9F">
        <w:trPr>
          <w:cantSplit/>
          <w:trHeight w:val="369"/>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скорость</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подачи,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м/ч</w:t>
            </w: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24"/>
                <w:szCs w:val="24"/>
              </w:rPr>
            </w:pPr>
          </w:p>
        </w:tc>
      </w:tr>
      <w:tr w:rsidR="00957B9F" w:rsidRPr="00957B9F" w:rsidTr="00957B9F">
        <w:trPr>
          <w:trHeight w:val="104"/>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А-547У</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A-1230М</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ПДГ-305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ПДГ-307</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А-825М</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ПДГ-502</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ПДГ-508</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А-1197г</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220, 380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220, 380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50-315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100-500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150-500</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0,8-1,2</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0,8-1,2 0,8-1,4 0.8-1.4 0,8-1,2 1,2-2,0 1,6-2,0</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150-420 140-570 120-1200 160-950 120-620 120-1200 105-900 120-720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ВС-300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ВДГ-303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ВДГ-303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ВДГ-303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ВСЖ-303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ВДУ-504-1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ВДУ-505</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ВС-600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350x130x260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364x290x130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362x284x153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380x290x160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305x175x245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904x660x434</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445x316x370</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470x140x285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27,5</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w:t>
            </w:r>
          </w:p>
          <w:p w:rsidR="00957B9F" w:rsidRPr="00957B9F" w:rsidRDefault="00957B9F" w:rsidP="00957B9F">
            <w:pPr>
              <w:spacing w:after="0" w:line="10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w:t>
            </w: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10"/>
                <w:szCs w:val="24"/>
              </w:rPr>
            </w:pP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i/>
          <w:iCs/>
          <w:color w:val="555555"/>
          <w:sz w:val="17"/>
          <w:szCs w:val="17"/>
        </w:rPr>
        <w:t>Примечание</w:t>
      </w:r>
      <w:r w:rsidRPr="00957B9F">
        <w:rPr>
          <w:rFonts w:ascii="Times New Roman" w:eastAsia="Times New Roman" w:hAnsi="Times New Roman" w:cs="Times New Roman"/>
          <w:color w:val="555555"/>
          <w:sz w:val="17"/>
          <w:szCs w:val="17"/>
        </w:rPr>
        <w:t>. Сварочные полуавтоматы могут быть укомплектованы и другими источниками питания.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4.</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Технические характеристики источников питания для дуговой сварки плавящимся электродом в защитных газах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0" w:type="dxa"/>
        <w:tblCellMar>
          <w:left w:w="0" w:type="dxa"/>
          <w:right w:w="0" w:type="dxa"/>
        </w:tblCellMar>
        <w:tblLook w:val="04A0"/>
      </w:tblPr>
      <w:tblGrid>
        <w:gridCol w:w="848"/>
        <w:gridCol w:w="1132"/>
        <w:gridCol w:w="1174"/>
        <w:gridCol w:w="1044"/>
        <w:gridCol w:w="1182"/>
        <w:gridCol w:w="1142"/>
        <w:gridCol w:w="1126"/>
        <w:gridCol w:w="1120"/>
        <w:gridCol w:w="573"/>
        <w:gridCol w:w="14"/>
      </w:tblGrid>
      <w:tr w:rsidR="00957B9F" w:rsidRPr="00957B9F" w:rsidTr="00957B9F">
        <w:trPr>
          <w:cantSplit/>
          <w:trHeight w:val="56"/>
        </w:trPr>
        <w:tc>
          <w:tcPr>
            <w:tcW w:w="0" w:type="auto"/>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Тип источника</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питания</w:t>
            </w:r>
          </w:p>
        </w:tc>
        <w:tc>
          <w:tcPr>
            <w:tcW w:w="0" w:type="auto"/>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В</w:t>
            </w:r>
          </w:p>
        </w:tc>
        <w:tc>
          <w:tcPr>
            <w:tcW w:w="1407" w:type="dxa"/>
            <w:gridSpan w:val="2"/>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Сварочный ток, А</w:t>
            </w:r>
          </w:p>
        </w:tc>
        <w:tc>
          <w:tcPr>
            <w:tcW w:w="1334" w:type="dxa"/>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Номинальный режим</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работы</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 %</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Потребляемая мощность</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кВт</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Габаритные</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размеры, мм</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Масса,</w:t>
            </w:r>
          </w:p>
          <w:p w:rsidR="00957B9F" w:rsidRPr="00957B9F" w:rsidRDefault="00957B9F" w:rsidP="00957B9F">
            <w:pPr>
              <w:spacing w:after="0" w:line="56"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кг</w:t>
            </w: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6"/>
                <w:szCs w:val="24"/>
              </w:rPr>
            </w:pPr>
          </w:p>
        </w:tc>
      </w:tr>
      <w:tr w:rsidR="00957B9F" w:rsidRPr="00957B9F" w:rsidTr="00957B9F">
        <w:trPr>
          <w:cantSplit/>
          <w:trHeight w:val="230"/>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максимальное рабочее</w:t>
            </w:r>
          </w:p>
        </w:tc>
        <w:tc>
          <w:tcPr>
            <w:tcW w:w="0" w:type="auto"/>
            <w:vMerge w:val="restart"/>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Максимальное холостого хода</w:t>
            </w:r>
          </w:p>
        </w:tc>
        <w:tc>
          <w:tcPr>
            <w:tcW w:w="0" w:type="auto"/>
            <w:gridSpan w:val="2"/>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24"/>
                <w:szCs w:val="24"/>
              </w:rPr>
            </w:pPr>
          </w:p>
        </w:tc>
      </w:tr>
      <w:tr w:rsidR="00957B9F" w:rsidRPr="00957B9F" w:rsidTr="00957B9F">
        <w:trPr>
          <w:cantSplit/>
          <w:trHeight w:val="1711"/>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nil"/>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номинальное значение</w:t>
            </w:r>
          </w:p>
        </w:tc>
        <w:tc>
          <w:tcPr>
            <w:tcW w:w="889"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пределы регулирования</w:t>
            </w: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24"/>
                <w:szCs w:val="24"/>
              </w:rPr>
            </w:pPr>
          </w:p>
        </w:tc>
      </w:tr>
      <w:tr w:rsidR="00957B9F" w:rsidRPr="00957B9F" w:rsidTr="00957B9F">
        <w:trPr>
          <w:trHeight w:val="168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BC-300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ВДГ-303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BСЖ-303</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ПСГ-500-1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ВС-600</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ВДУ-504-1</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ВДУ-5Ш</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ВДУ-506</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ВДГ-601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630</w:t>
            </w:r>
          </w:p>
        </w:tc>
        <w:tc>
          <w:tcPr>
            <w:tcW w:w="889"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50-315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50-315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60-600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100-700</w:t>
            </w:r>
          </w:p>
        </w:tc>
        <w:tc>
          <w:tcPr>
            <w:tcW w:w="1334"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69</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965x720x560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600x720x950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710x550х955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870x1050x570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1490x880x1070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1048х810</w:t>
            </w:r>
            <w:r w:rsidRPr="00957B9F">
              <w:rPr>
                <w:rFonts w:ascii="Times New Roman" w:eastAsia="Times New Roman" w:hAnsi="Times New Roman" w:cs="Times New Roman"/>
                <w:color w:val="555555"/>
                <w:sz w:val="24"/>
                <w:szCs w:val="24"/>
              </w:rPr>
              <w:lastRenderedPageBreak/>
              <w:t>х1018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830x700x920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820x620x1100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1250x900x1155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585</w:t>
            </w:r>
          </w:p>
        </w:tc>
        <w:tc>
          <w:tcPr>
            <w:tcW w:w="6" w:type="dxa"/>
            <w:tcBorders>
              <w:top w:val="nil"/>
              <w:left w:val="nil"/>
              <w:bottom w:val="nil"/>
              <w:right w:val="nil"/>
            </w:tcBorders>
            <w:vAlign w:val="center"/>
            <w:hideMark/>
          </w:tcPr>
          <w:p w:rsidR="00957B9F" w:rsidRPr="00957B9F" w:rsidRDefault="00957B9F" w:rsidP="00957B9F">
            <w:pPr>
              <w:spacing w:after="0" w:line="240" w:lineRule="auto"/>
              <w:rPr>
                <w:rFonts w:ascii="Times New Roman" w:eastAsia="Times New Roman" w:hAnsi="Times New Roman" w:cs="Times New Roman"/>
                <w:sz w:val="24"/>
                <w:szCs w:val="24"/>
              </w:rPr>
            </w:pP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5. КВАЛИФИКАЦИЯ СВАРЩИКОВ</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5.1. К полуавтоматической сварке в углекислом газе и смесях газов сосудов и аппаратов, внутренних устройств, работающих под давлением, а также приварки этих деталей к корпусам допускаются сварщики, прошедшие обучение и аттестованные в соответствии с требованиями "Правил аттестации сварщиков", утвержденных Госгортехнадзором СССР.</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5.2. Прихватка и сварка должны выполняться сварщиками не ниже 3-го разряда.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6.</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TРЕБОВАНИЯ К КОНСТРУКТИВНЫМ ЭЛЕМЕНТАМ СВАРИВАЕМЫХ КРОМОК, СБОРКЕ ПОД СВАРКУ И РАЗМЕРАМ ВЫПОЛНЕННЫХ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6.1. Типы сварных швов и конструктивные элементы подготовки кромок, а также размеры выполненных сварных швов при полуавтоматической сварке в углекислом газе, и смесях газов должны соответствовать требованиям ГОСТ 14771-76, ГОСТ 16037-80, ГОСТ 23518-79.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6.2. Подготовка деталей под сварку выполняется в соответствии с требованиями ОСТ 26-291-79, ОСТ 26-01-82-77 и принятой на заводе технологией.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Разделку и подготовку кромок под сварку рекомендуется выполнять механическим способом, допускается применение термической (газовой, плазменной и др.) резки с обязательной последующей зачисткой кромок до полного удаления следов шлака механическим способом.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6.3. Перед сборкой подлежащие сварке кромки и прилегающие к ним поверхности металла на ширине не менее 20 мм должны быть очищены от ржавчины, окалины, краски, масла и других загрязнений до чистого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6.4. Сборка деталей под сварку должна обеспечивать правильное фиксированное взаимной расположение деталей, а также свободный доступ и выполнение сварочных работ в последовательности, предусмотренной технологическим процессом.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6.5. Закрепление деталей при сборке конструкций производится с помощью специальных приспособлений (струбцин, центраторов, винтовых стяжек и т.п.) или прихватками.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6.6 Прихватки должны выполняться сваркой в углекислом газе или в смесях газов.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Допускается производить прихватки ручной дуговой сварной электродами в соответствии с ОСТ 26-291-79.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6.7. Прихватку следует рассматривать как часть сварного шва. При её выполнении не допускаются такие дефекты, как поры, подрезы, наплывы. Дефектные прихватки должны удалятся.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6.8. При выполнении прихватки сваркой в защитных газах рекомендуется технологические операции осуществлять в следующей последовательности: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сборка изделий на прихватках;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сварка изделий со стороны прихваток;</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разделка корня шла;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заполнение разделки полуавтоматической сваркой.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6.9.   В случае выполнения прихватки ручной дуговой сваркой для получения равномерных по высоте и ширине швов рекомендуется следующий порядок технологических операций: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сборка изделий на прихватках; полуавтоматическая сварка со стороны, противоположной прихваткам;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удаление прихваток и разделка корня шва; заполнение разделки полуавтоматической сваркой.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6.10.  Перед сваркой прихватки и кромки свариваемых элементов должны быть тщательно очищены от брызг и загрязнений.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6.11.     Участки основного металла, непосредственно прилегающие к шву, целесообразно покрывать защитными аэрозольными средствами "Дуга", проставляемыми по ТУ 6-15-960-75, или молотым мелом, каолином, разведенными на воде, либо другим покрытием, препятствующим налипанию брызг. При использовании защитных покрытий необходимо принять меры, исключающие их попадание на свариваемые кромки.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6.12.     Подготовленные под сварку узлы и изделия должны быть приняты ОТК.</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7. ТЕХНОЛОГИЧЕСКИЕ УКАЗАНИЯ ПО СВАРКЕ</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     Полуавтоматическая сварка в защитных газах выполняется на постоянном токе обратной полярности.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     Выбор диаметра сварочной проволоки и зависимости от толщины свариваемого металла рекомендуется производить в соответствии</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с табл.5.</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5.</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Зависимость диаметра сварочной проволоки от толщины свариваемого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1600" w:type="dxa"/>
        <w:tblCellMar>
          <w:left w:w="0" w:type="dxa"/>
          <w:right w:w="0" w:type="dxa"/>
        </w:tblCellMar>
        <w:tblLook w:val="04A0"/>
      </w:tblPr>
      <w:tblGrid>
        <w:gridCol w:w="3929"/>
        <w:gridCol w:w="3906"/>
      </w:tblGrid>
      <w:tr w:rsidR="00957B9F" w:rsidRPr="00957B9F" w:rsidTr="00957B9F">
        <w:trPr>
          <w:trHeight w:val="90"/>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90"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Толщина свариваемого металла,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90"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r>
      <w:tr w:rsidR="00957B9F" w:rsidRPr="00957B9F" w:rsidTr="00957B9F">
        <w:trPr>
          <w:trHeight w:val="830"/>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До 2 включ.</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 3 " 5 "</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4 " 8 "</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"6"12"</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10 и более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7.3. Ориентировочный расход сварочной проволоки при сварке в углекислом газе и смесях CO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 O</w:t>
      </w:r>
      <w:r w:rsidRPr="00957B9F">
        <w:rPr>
          <w:rFonts w:ascii="Times New Roman" w:eastAsia="Times New Roman" w:hAnsi="Times New Roman" w:cs="Times New Roman"/>
          <w:color w:val="555555"/>
          <w:sz w:val="12"/>
          <w:szCs w:val="12"/>
          <w:vertAlign w:val="subscript"/>
        </w:rPr>
        <w:t>2</w:t>
      </w:r>
      <w:r w:rsidRPr="00957B9F">
        <w:rPr>
          <w:rFonts w:ascii="Times New Roman" w:eastAsia="Times New Roman" w:hAnsi="Times New Roman" w:cs="Times New Roman"/>
          <w:color w:val="555555"/>
          <w:sz w:val="17"/>
          <w:szCs w:val="17"/>
        </w:rPr>
        <w:t>составляет от 1,1 до 1,15 кг на 1 кг наплавленного металла, а при сварке в смесях на основе аргона - от 1,05 до 1,06 кг.</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7.4. Ориентировочный расход защитной газовой среды составляет от 0,5 до 0,7 м</w:t>
      </w:r>
      <w:r w:rsidRPr="00957B9F">
        <w:rPr>
          <w:rFonts w:ascii="Times New Roman" w:eastAsia="Times New Roman" w:hAnsi="Times New Roman" w:cs="Times New Roman"/>
          <w:color w:val="555555"/>
          <w:sz w:val="12"/>
          <w:szCs w:val="12"/>
          <w:vertAlign w:val="superscript"/>
        </w:rPr>
        <w:t>3</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на 1 кг наплавленного металла. Наименьшее количество газа расходуется при сварке тавровых соединений и угловых с внутренней стороны, средне-стыковых и наибольшее - угловых с наружной стороны.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7.5. Рекомендуемый диапазон режимов сварки в зависимости от диаметра сварочной проволоки и пространственного положения шва приведен в табл.6.</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6.</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Зависимость режимов сварки от диаметра сварочной проволоки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607" w:type="dxa"/>
        <w:tblCellMar>
          <w:left w:w="0" w:type="dxa"/>
          <w:right w:w="0" w:type="dxa"/>
        </w:tblCellMar>
        <w:tblLook w:val="04A0"/>
      </w:tblPr>
      <w:tblGrid>
        <w:gridCol w:w="859"/>
        <w:gridCol w:w="1328"/>
        <w:gridCol w:w="960"/>
        <w:gridCol w:w="1328"/>
        <w:gridCol w:w="960"/>
        <w:gridCol w:w="1328"/>
        <w:gridCol w:w="960"/>
        <w:gridCol w:w="1105"/>
      </w:tblGrid>
      <w:tr w:rsidR="00957B9F" w:rsidRPr="00957B9F" w:rsidTr="00957B9F">
        <w:trPr>
          <w:cantSplit/>
          <w:trHeight w:val="392"/>
        </w:trPr>
        <w:tc>
          <w:tcPr>
            <w:tcW w:w="0" w:type="auto"/>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сварочной</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проволоки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gridSpan w:val="6"/>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Пространственное положение шва</w:t>
            </w:r>
          </w:p>
        </w:tc>
        <w:tc>
          <w:tcPr>
            <w:tcW w:w="0" w:type="auto"/>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Вылет</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электрода, мм</w:t>
            </w:r>
          </w:p>
        </w:tc>
      </w:tr>
      <w:tr w:rsidR="00957B9F" w:rsidRPr="00957B9F" w:rsidTr="00957B9F">
        <w:trPr>
          <w:cantSplit/>
          <w:trHeight w:val="562"/>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нижнее</w:t>
            </w:r>
          </w:p>
        </w:tc>
        <w:tc>
          <w:tcPr>
            <w:tcW w:w="0" w:type="auto"/>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вертикальное 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горизонтальное</w:t>
            </w:r>
          </w:p>
        </w:tc>
        <w:tc>
          <w:tcPr>
            <w:tcW w:w="0" w:type="auto"/>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потолочное</w:t>
            </w: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r>
      <w:tr w:rsidR="00957B9F" w:rsidRPr="00957B9F" w:rsidTr="00957B9F">
        <w:trPr>
          <w:cantSplit/>
          <w:trHeight w:val="390"/>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gridSpan w:val="6"/>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режимы сварки</w:t>
            </w: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r>
      <w:tr w:rsidR="00957B9F" w:rsidRPr="00957B9F" w:rsidTr="00957B9F">
        <w:trPr>
          <w:cantSplit/>
          <w:trHeight w:val="61"/>
        </w:trPr>
        <w:tc>
          <w:tcPr>
            <w:tcW w:w="0" w:type="auto"/>
            <w:vMerge/>
            <w:tcBorders>
              <w:top w:val="single" w:sz="8" w:space="0" w:color="auto"/>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сварочный ток,А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дуги,В</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сварочный ток,А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 В</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сварочный ток,А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61"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дуги,В</w:t>
            </w:r>
          </w:p>
        </w:tc>
        <w:tc>
          <w:tcPr>
            <w:tcW w:w="0" w:type="auto"/>
            <w:vMerge/>
            <w:tcBorders>
              <w:top w:val="single" w:sz="8" w:space="0" w:color="auto"/>
              <w:left w:val="nil"/>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r>
      <w:tr w:rsidR="00957B9F" w:rsidRPr="00957B9F" w:rsidTr="00957B9F">
        <w:trPr>
          <w:trHeight w:val="1123"/>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120-260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150-420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110-180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120-200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50-120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110-170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120-180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19-21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19-21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7- 12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14-20</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7.6.    При сварке угловых соединений с наружной стороны швов, выполняемых в вертикальном и потолочном положениях, для повышения надежности газовой защиты расход газа рекомендуется увеличивать на 10%.</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7.7.      Для обеспечения качественной защиты необходимо принять меры по исключению сквозняков в зоне сварки. Необходимо следить, чтобы расстояние от сопла горелки до поверхности свариваемой детали не превышало 25 мм.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7.8.      При сварке на форсированных режимах (</w:t>
      </w:r>
      <w:r w:rsidRPr="00957B9F">
        <w:rPr>
          <w:rFonts w:ascii="Times New Roman" w:eastAsia="Times New Roman" w:hAnsi="Times New Roman" w:cs="Times New Roman"/>
          <w:i/>
          <w:iCs/>
          <w:color w:val="555555"/>
          <w:sz w:val="17"/>
          <w:szCs w:val="17"/>
        </w:rPr>
        <w:t>J</w:t>
      </w:r>
      <w:r w:rsidRPr="00957B9F">
        <w:rPr>
          <w:rFonts w:ascii="Times New Roman" w:eastAsia="Times New Roman" w:hAnsi="Times New Roman" w:cs="Times New Roman"/>
          <w:color w:val="555555"/>
          <w:sz w:val="12"/>
          <w:szCs w:val="12"/>
          <w:vertAlign w:val="subscript"/>
        </w:rPr>
        <w:t>св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 400А) для улучшения газовой защиты сварочной ванны токоподводящий наконечник сварочной горелки должен быть утоплен на</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10-15 мм вглубь от нижнего среза сопла. Сварку следует выполнять без поперечных колебаний сварочной горелкой узкими валиками так, чтобы ширина ванны не превышала внутреннего диаметра сопла горелки.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7.9.  При сварке в защитных газах положение горелки и ее размещение должны обеспечивать устойчивость процесса, надежность газовой защиты сварочной ванны от воздуха, оптимальную форму шва, возможность наблюдения за процессом 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7.10.  Сварку в нижнем положении можно производить в направлении слева направо "углом назад" (черт.1а) или справа налево "углом вперёд" (черт. 1б).</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7.1l. Сварку вертикальных швов при толщине металла до 3 мм включительно рекомендуется производить сверху вниз, а при толщине металла свыше 3 мм - снизу вверх. При сварке сверху вниз наклон горелки составляет от 35 до 40° (черт.1в), при сварке снизу вверх от 45 до 50° (черт.1 г).</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i/>
          <w:iCs/>
          <w:color w:val="555555"/>
          <w:sz w:val="17"/>
          <w:szCs w:val="17"/>
        </w:rPr>
        <w:t>Примечание</w:t>
      </w:r>
      <w:r w:rsidRPr="00957B9F">
        <w:rPr>
          <w:rFonts w:ascii="Times New Roman" w:eastAsia="Times New Roman" w:hAnsi="Times New Roman" w:cs="Times New Roman"/>
          <w:color w:val="555555"/>
          <w:sz w:val="17"/>
          <w:szCs w:val="17"/>
        </w:rPr>
        <w:t>. Стрелками показаны направления 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7.12. Сварку горизонтальных швов следует производить с направлением электронной проволоки снизу вверх (черт. 1д).</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ПОЛОЖЕНИЯ СВАРОЧНОЙ ГОРЕЛКИ И НАПРАВЛЕНИЯ СВАРКИ</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lastRenderedPageBreak/>
        <w:drawing>
          <wp:inline distT="0" distB="0" distL="0" distR="0">
            <wp:extent cx="4377690" cy="5907405"/>
            <wp:effectExtent l="19050" t="0" r="3810" b="0"/>
            <wp:docPr id="1" name="Рисунок 1" descr="http://stroyka-ip.ru/xsv_sv_ohnp_ob/rd-26-17-051-85/image001.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royka-ip.ru/xsv_sv_ohnp_ob/rd-26-17-051-85/image001.jpg">
                      <a:hlinkClick r:id="rId4"/>
                    </pic:cNvPr>
                    <pic:cNvPicPr>
                      <a:picLocks noChangeAspect="1" noChangeArrowheads="1"/>
                    </pic:cNvPicPr>
                  </pic:nvPicPr>
                  <pic:blipFill>
                    <a:blip r:embed="rId5"/>
                    <a:srcRect/>
                    <a:stretch>
                      <a:fillRect/>
                    </a:stretch>
                  </pic:blipFill>
                  <pic:spPr bwMode="auto">
                    <a:xfrm>
                      <a:off x="0" y="0"/>
                      <a:ext cx="4377690" cy="5907405"/>
                    </a:xfrm>
                    <a:prstGeom prst="rect">
                      <a:avLst/>
                    </a:prstGeom>
                    <a:noFill/>
                    <a:ln w="9525">
                      <a:noFill/>
                      <a:miter lim="800000"/>
                      <a:headEnd/>
                      <a:tailEnd/>
                    </a:ln>
                  </pic:spPr>
                </pic:pic>
              </a:graphicData>
            </a:graphic>
          </wp:inline>
        </w:drawing>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Черт.1.</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7.13.    Сварку потолочных швов рекомендуется выполнять при положении электрода "углом назад". Сварку стыковых швов при этом следует производить с наибольшими поперечными колебаниями сварочной горелки.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7.14.    При сварке однослойных стыковых швов и первого слоя многослойных швов горелку вдоль шва рекомендуется перемещать поступательно без поперечных колебаний при зазоре от 0 до 0,5 мм и возвратно-поступательно с поперечными колебаниями при зазоре свыше 0,5 мм. Второй и следующие проходы выполняются только с поперечными колебаниями.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Рекомендуемые схемы перемещения конца сварочной проволоки при сварке в защитных газах приведены на черт. 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7.15. Количество проходов по ширине шва (в одном слое шва) должно устанавливаться с учетом ширины разделки кромок соединения при ширине менее 20 мм один слой следует выполнить за один проход, при ширине более 20 мм количество проходов в слое следует увеличивать.</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7.16. При сварке жестких конструктивных элементов большой толщины первый валик рекомендуется выполнять выпуклым швом во избежание образования в нём трещин.</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7.17. По окончании сварки обрывать дугу следует после заплавления кратера шва, кратер первого прохода швов стыковых соединений с разделкой кромок при сварке проволокой диаметром от 1,4 до 2,0 мм следует выводить на кромку основного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7.18.     При сварке угловых швов сварочная проволока должна быть отклонена от вертикальной стенки на угол от 30 до 45°. Рекомендуется выполнять движение горелки при сварке угловых швов по вытянутой спирали. На токах ниже 400А угловые швы рекомендуется выполнять "углом вперед".</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СХЕМЫ ПЕРЕМЕЩЕНИЯ ЭЛЕКТРОДА ПРИ СВАРКЕ В ЗАЩИТНЫХ ГАЗАХ</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lastRenderedPageBreak/>
        <w:drawing>
          <wp:inline distT="0" distB="0" distL="0" distR="0">
            <wp:extent cx="4021455" cy="3350260"/>
            <wp:effectExtent l="19050" t="0" r="0" b="0"/>
            <wp:docPr id="2" name="Рисунок 2" descr="http://stroyka-ip.ru/xsv_sv_ohnp_ob/rd-26-17-051-85/image00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royka-ip.ru/xsv_sv_ohnp_ob/rd-26-17-051-85/image002.jpg">
                      <a:hlinkClick r:id="rId4"/>
                    </pic:cNvPr>
                    <pic:cNvPicPr>
                      <a:picLocks noChangeAspect="1" noChangeArrowheads="1"/>
                    </pic:cNvPicPr>
                  </pic:nvPicPr>
                  <pic:blipFill>
                    <a:blip r:embed="rId6"/>
                    <a:srcRect/>
                    <a:stretch>
                      <a:fillRect/>
                    </a:stretch>
                  </pic:blipFill>
                  <pic:spPr bwMode="auto">
                    <a:xfrm>
                      <a:off x="0" y="0"/>
                      <a:ext cx="4021455" cy="3350260"/>
                    </a:xfrm>
                    <a:prstGeom prst="rect">
                      <a:avLst/>
                    </a:prstGeom>
                    <a:noFill/>
                    <a:ln w="9525">
                      <a:noFill/>
                      <a:miter lim="800000"/>
                      <a:headEnd/>
                      <a:tailEnd/>
                    </a:ln>
                  </pic:spPr>
                </pic:pic>
              </a:graphicData>
            </a:graphic>
          </wp:inline>
        </w:drawing>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а - возвратно-поступательное;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б - по вытянутой спирали;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в - с поперечными колебаниями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Черт.2.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7.19.     Сварку швов большой протяженности рекомендуется выполнять обратно-ступенчатым способом с длиной участка от 1,0 до 1,5 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7.20.     Сварку листов толщиной 30 мм и более рекомендуется производить блоками согласно черт.3. Сварка всех блоков по длине шва производится одновременно. В пределах длины блока отдельные проходы должны накладываться непрерывно или с небольшими интервалами во времени.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7.21. При многопроходной сварке наложение каждого последующего слоя шва должно производиться после зачистки предыдущего.</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7.22. Во избежание больших сварочных напряжений в первую очередь рекомендуется выполнять в свободном для деформации состоянии стыковые швы, затем остальные стыковые швы и в последнюю очередь угловые.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7.23. При полуавтоматической сварке в углекислом газе и смесях газов стыковых, угловых, тавровых и нахлесточных соединений, предусмотренных ГОСТ 14771-76, рекомендуется преимущественно швы типов C1, С2, С4, С5, С7, С9, С10, С12, С15, C18, C19 C21, С25, У1, У5, У7, У8, У10, Т3, Т7, Т8, Т9, Н2.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7.24. Ориентировочные режимы сварки для указанных типов соединений в нижнем положении приведены в табл. 7 и 8.</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7.25. Сварку швов в горизонтальном, вертикальном и потолочном положениях рекомендуется производить на режимах, близких к нижнему пределу, приведенных в табл. 7 и 8.</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7.26. Все сварные швы подлежат клеймению, позволяющему установить сварщика, выполняющего эти швы. Клеймо наносится на расстоянии 20-50 мм от кромки сварного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У продольных швов клеймо должно находиться в начале и в конце шва на расстоянии 100 мм от кольцевого шва. Для кольцевого шва клеймо должно выбиваться в месте пересечения кольцевого шва с продольным и далее черве каждый 2 м, но при этом должно быть не менее трех клейм на каждом шве. Клейма ставятся с наружной стороны.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Если шов с наружной и внутренней стороны заваривается разными сварщиками, клейма ставятся только с наружной стороны через дробь и располагаются в ряд по направлению от шва в последовательности, соответствующей порядку наложения швов и слоев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На обечайке с продольным швом длиной менее 400 мм допускается ставить одно клеймо.</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Клеймение продольных и кольцевых швов тонкостенных аппаратов (толщиной менее 4 мм) допускается производить электрографом или несмываемыми красками.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7.27. Сварщика нельзя допускать к работе, пока на его рабочем месте не будет минимального набора инвентаря и инструментов. Сварщик должен иметь защитный щиток или маску, рукавицы, молотой, зубило, пассатижи, стальную щетку, личное клеймо и шаблоны для проверки геометрии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СХЕМА СВАРКИ БЛОКАМИ</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lastRenderedPageBreak/>
        <w:drawing>
          <wp:inline distT="0" distB="0" distL="0" distR="0">
            <wp:extent cx="4046220" cy="2096135"/>
            <wp:effectExtent l="19050" t="0" r="0" b="0"/>
            <wp:docPr id="3" name="Рисунок 3" descr="http://stroyka-ip.ru/xsv_sv_ohnp_ob/rd-26-17-051-85/image003.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royka-ip.ru/xsv_sv_ohnp_ob/rd-26-17-051-85/image003.jpg">
                      <a:hlinkClick r:id="rId4"/>
                    </pic:cNvPr>
                    <pic:cNvPicPr>
                      <a:picLocks noChangeAspect="1" noChangeArrowheads="1"/>
                    </pic:cNvPicPr>
                  </pic:nvPicPr>
                  <pic:blipFill>
                    <a:blip r:embed="rId7"/>
                    <a:srcRect/>
                    <a:stretch>
                      <a:fillRect/>
                    </a:stretch>
                  </pic:blipFill>
                  <pic:spPr bwMode="auto">
                    <a:xfrm>
                      <a:off x="0" y="0"/>
                      <a:ext cx="4046220" cy="2096135"/>
                    </a:xfrm>
                    <a:prstGeom prst="rect">
                      <a:avLst/>
                    </a:prstGeom>
                    <a:noFill/>
                    <a:ln w="9525">
                      <a:noFill/>
                      <a:miter lim="800000"/>
                      <a:headEnd/>
                      <a:tailEnd/>
                    </a:ln>
                  </pic:spPr>
                </pic:pic>
              </a:graphicData>
            </a:graphic>
          </wp:inline>
        </w:drawing>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Черт. 3.</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7.</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Ориентировочные режимы сварки в углекислом газе и смесях углекислого газа с кислородом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1705"/>
        <w:gridCol w:w="1060"/>
        <w:gridCol w:w="1050"/>
        <w:gridCol w:w="1272"/>
        <w:gridCol w:w="1272"/>
        <w:gridCol w:w="1406"/>
        <w:gridCol w:w="1204"/>
      </w:tblGrid>
      <w:tr w:rsidR="00957B9F" w:rsidRPr="00957B9F" w:rsidTr="00957B9F">
        <w:trPr>
          <w:trHeight w:val="355"/>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Тип шва по 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Толщина металла,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Расход защитного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газа,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л/мин</w:t>
            </w:r>
          </w:p>
        </w:tc>
      </w:tr>
      <w:tr w:rsidR="00957B9F" w:rsidRPr="00957B9F" w:rsidTr="00957B9F">
        <w:trPr>
          <w:trHeight w:val="43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 (односторонним с отбортовкой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0,5-1,0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59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С2 (односторонний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tc>
      </w:tr>
      <w:tr w:rsidR="00957B9F" w:rsidRPr="00957B9F" w:rsidTr="00957B9F">
        <w:trPr>
          <w:trHeight w:val="102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С4 (односторонний на съёмной подкладке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1,2-i1,6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tc>
      </w:tr>
      <w:tr w:rsidR="00957B9F" w:rsidRPr="00957B9F" w:rsidTr="00957B9F">
        <w:trPr>
          <w:trHeight w:val="81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С5 (односторонний на остающейся подкладке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12-I5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tc>
      </w:tr>
      <w:tr w:rsidR="00957B9F" w:rsidRPr="00957B9F" w:rsidTr="00957B9F">
        <w:trPr>
          <w:trHeight w:val="73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С7 (двухсторонний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2968"/>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С9 (односторонний на съёмной подкладке со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скосом одной</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24- 27</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1б-24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drawing>
          <wp:inline distT="0" distB="0" distL="0" distR="0">
            <wp:extent cx="15875" cy="5624195"/>
            <wp:effectExtent l="19050" t="0" r="3175" b="0"/>
            <wp:docPr id="4" name="Рисунок 4" descr="http://stroyka-ip.ru/xsv_sv_ohnp_ob/rd-26-17-051-85/image00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royka-ip.ru/xsv_sv_ohnp_ob/rd-26-17-051-85/image004.gif">
                      <a:hlinkClick r:id="rId4"/>
                    </pic:cNvPr>
                    <pic:cNvPicPr>
                      <a:picLocks noChangeAspect="1" noChangeArrowheads="1"/>
                    </pic:cNvPicPr>
                  </pic:nvPicPr>
                  <pic:blipFill>
                    <a:blip r:embed="rId8"/>
                    <a:srcRect/>
                    <a:stretch>
                      <a:fillRect/>
                    </a:stretch>
                  </pic:blipFill>
                  <pic:spPr bwMode="auto">
                    <a:xfrm>
                      <a:off x="0" y="0"/>
                      <a:ext cx="15875" cy="5624195"/>
                    </a:xfrm>
                    <a:prstGeom prst="rect">
                      <a:avLst/>
                    </a:prstGeom>
                    <a:noFill/>
                    <a:ln w="9525">
                      <a:noFill/>
                      <a:miter lim="800000"/>
                      <a:headEnd/>
                      <a:tailEnd/>
                    </a:ln>
                  </pic:spPr>
                </pic:pic>
              </a:graphicData>
            </a:graphic>
          </wp:inline>
        </w:drawing>
      </w:r>
      <w:r w:rsidRPr="00957B9F">
        <w:rPr>
          <w:rFonts w:ascii="Times New Roman" w:eastAsia="Times New Roman" w:hAnsi="Times New Roman" w:cs="Times New Roman"/>
          <w:color w:val="555555"/>
          <w:sz w:val="17"/>
          <w:szCs w:val="17"/>
        </w:rPr>
        <w:t>Продолжение табл. 7</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1886"/>
        <w:gridCol w:w="1034"/>
        <w:gridCol w:w="1024"/>
        <w:gridCol w:w="1240"/>
        <w:gridCol w:w="1240"/>
        <w:gridCol w:w="1371"/>
        <w:gridCol w:w="1174"/>
      </w:tblGrid>
      <w:tr w:rsidR="00957B9F" w:rsidRPr="00957B9F" w:rsidTr="00957B9F">
        <w:trPr>
          <w:trHeight w:val="271"/>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outlineLvl w:val="1"/>
              <w:rPr>
                <w:rFonts w:ascii="Times New Roman" w:eastAsia="Times New Roman" w:hAnsi="Times New Roman" w:cs="Times New Roman"/>
                <w:b/>
                <w:bCs/>
                <w:color w:val="555555"/>
                <w:sz w:val="19"/>
                <w:szCs w:val="19"/>
              </w:rPr>
            </w:pPr>
            <w:r w:rsidRPr="00957B9F">
              <w:rPr>
                <w:rFonts w:ascii="Times New Roman" w:eastAsia="Times New Roman" w:hAnsi="Times New Roman" w:cs="Times New Roman"/>
                <w:b/>
                <w:bCs/>
                <w:color w:val="555555"/>
                <w:sz w:val="19"/>
                <w:szCs w:val="19"/>
              </w:rPr>
              <w:t>Тип шва по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Толщина металла,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К-во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Расход защитного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газа,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л/мин</w:t>
            </w:r>
          </w:p>
        </w:tc>
      </w:tr>
      <w:tr w:rsidR="00957B9F" w:rsidRPr="00957B9F" w:rsidTr="00957B9F">
        <w:trPr>
          <w:trHeight w:val="2243"/>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С10 (односторонний на остающейся подкалке со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24 -26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24-28</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340 -500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32 -36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16 -24</w:t>
            </w:r>
          </w:p>
        </w:tc>
      </w:tr>
      <w:tr w:rsidR="00957B9F" w:rsidRPr="00957B9F" w:rsidTr="00957B9F">
        <w:trPr>
          <w:trHeight w:val="190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С12(двусторонний с</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криволинейным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25-28</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32 -36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40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С15 (двусторонний с двумя симметричными скосами одной</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75-80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95-100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200 -340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lastRenderedPageBreak/>
        <w:drawing>
          <wp:inline distT="0" distB="0" distL="0" distR="0">
            <wp:extent cx="15875" cy="5624195"/>
            <wp:effectExtent l="19050" t="0" r="3175" b="0"/>
            <wp:docPr id="5" name="Рисунок 5" descr="http://stroyka-ip.ru/xsv_sv_ohnp_ob/rd-26-17-051-85/image00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royka-ip.ru/xsv_sv_ohnp_ob/rd-26-17-051-85/image004.gif">
                      <a:hlinkClick r:id="rId4"/>
                    </pic:cNvPr>
                    <pic:cNvPicPr>
                      <a:picLocks noChangeAspect="1" noChangeArrowheads="1"/>
                    </pic:cNvPicPr>
                  </pic:nvPicPr>
                  <pic:blipFill>
                    <a:blip r:embed="rId8"/>
                    <a:srcRect/>
                    <a:stretch>
                      <a:fillRect/>
                    </a:stretch>
                  </pic:blipFill>
                  <pic:spPr bwMode="auto">
                    <a:xfrm>
                      <a:off x="0" y="0"/>
                      <a:ext cx="15875" cy="5624195"/>
                    </a:xfrm>
                    <a:prstGeom prst="rect">
                      <a:avLst/>
                    </a:prstGeom>
                    <a:noFill/>
                    <a:ln w="9525">
                      <a:noFill/>
                      <a:miter lim="800000"/>
                      <a:headEnd/>
                      <a:tailEnd/>
                    </a:ln>
                  </pic:spPr>
                </pic:pic>
              </a:graphicData>
            </a:graphic>
          </wp:inline>
        </w:drawing>
      </w:r>
      <w:r w:rsidRPr="00957B9F">
        <w:rPr>
          <w:rFonts w:ascii="Times New Roman" w:eastAsia="Times New Roman" w:hAnsi="Times New Roman" w:cs="Times New Roman"/>
          <w:color w:val="555555"/>
          <w:sz w:val="17"/>
          <w:szCs w:val="17"/>
        </w:rPr>
        <w:t>Продолжение табл. 7</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1985"/>
        <w:gridCol w:w="1020"/>
        <w:gridCol w:w="1009"/>
        <w:gridCol w:w="1223"/>
        <w:gridCol w:w="1223"/>
        <w:gridCol w:w="1351"/>
        <w:gridCol w:w="1158"/>
      </w:tblGrid>
      <w:tr w:rsidR="00957B9F" w:rsidRPr="00957B9F" w:rsidTr="00957B9F">
        <w:trPr>
          <w:trHeight w:val="1293"/>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outlineLvl w:val="1"/>
              <w:rPr>
                <w:rFonts w:ascii="Times New Roman" w:eastAsia="Times New Roman" w:hAnsi="Times New Roman" w:cs="Times New Roman"/>
                <w:b/>
                <w:bCs/>
                <w:color w:val="555555"/>
                <w:sz w:val="19"/>
                <w:szCs w:val="19"/>
              </w:rPr>
            </w:pPr>
            <w:r w:rsidRPr="00957B9F">
              <w:rPr>
                <w:rFonts w:ascii="Times New Roman" w:eastAsia="Times New Roman" w:hAnsi="Times New Roman" w:cs="Times New Roman"/>
                <w:b/>
                <w:bCs/>
                <w:color w:val="555555"/>
                <w:sz w:val="19"/>
                <w:szCs w:val="19"/>
              </w:rPr>
              <w:t>Тип шва по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Толщина металла,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Расход защитного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газа,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л/мин</w:t>
            </w:r>
          </w:p>
        </w:tc>
      </w:tr>
      <w:tr w:rsidR="00957B9F" w:rsidRPr="00957B9F" w:rsidTr="00957B9F">
        <w:trPr>
          <w:trHeight w:val="130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С18(односторонний на съемной подкладке со скосом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45-48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311"/>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C19 (односторонний На остающейся подкладке со скосом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45-48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46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С21 (двусторонний но скосом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44-48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5-б</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Pr>
          <w:rFonts w:ascii="Times New Roman" w:eastAsia="Times New Roman" w:hAnsi="Times New Roman" w:cs="Times New Roman"/>
          <w:noProof/>
          <w:color w:val="0000CC"/>
          <w:sz w:val="17"/>
          <w:szCs w:val="17"/>
        </w:rPr>
        <w:lastRenderedPageBreak/>
        <w:drawing>
          <wp:inline distT="0" distB="0" distL="0" distR="0">
            <wp:extent cx="15875" cy="5624195"/>
            <wp:effectExtent l="19050" t="0" r="3175" b="0"/>
            <wp:docPr id="6" name="Рисунок 6" descr="http://stroyka-ip.ru/xsv_sv_ohnp_ob/rd-26-17-051-85/image004.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troyka-ip.ru/xsv_sv_ohnp_ob/rd-26-17-051-85/image004.gif">
                      <a:hlinkClick r:id="rId4"/>
                    </pic:cNvPr>
                    <pic:cNvPicPr>
                      <a:picLocks noChangeAspect="1" noChangeArrowheads="1"/>
                    </pic:cNvPicPr>
                  </pic:nvPicPr>
                  <pic:blipFill>
                    <a:blip r:embed="rId8"/>
                    <a:srcRect/>
                    <a:stretch>
                      <a:fillRect/>
                    </a:stretch>
                  </pic:blipFill>
                  <pic:spPr bwMode="auto">
                    <a:xfrm>
                      <a:off x="0" y="0"/>
                      <a:ext cx="15875" cy="5624195"/>
                    </a:xfrm>
                    <a:prstGeom prst="rect">
                      <a:avLst/>
                    </a:prstGeom>
                    <a:noFill/>
                    <a:ln w="9525">
                      <a:noFill/>
                      <a:miter lim="800000"/>
                      <a:headEnd/>
                      <a:tailEnd/>
                    </a:ln>
                  </pic:spPr>
                </pic:pic>
              </a:graphicData>
            </a:graphic>
          </wp:inline>
        </w:drawing>
      </w:r>
      <w:r w:rsidRPr="00957B9F">
        <w:rPr>
          <w:rFonts w:ascii="Times New Roman" w:eastAsia="Times New Roman" w:hAnsi="Times New Roman" w:cs="Times New Roman"/>
          <w:color w:val="555555"/>
          <w:sz w:val="17"/>
          <w:szCs w:val="17"/>
        </w:rPr>
        <w:t>Продолжение табл. 7</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1822"/>
        <w:gridCol w:w="978"/>
        <w:gridCol w:w="1044"/>
        <w:gridCol w:w="1265"/>
        <w:gridCol w:w="1265"/>
        <w:gridCol w:w="1398"/>
        <w:gridCol w:w="1197"/>
      </w:tblGrid>
      <w:tr w:rsidR="00957B9F" w:rsidRPr="00957B9F" w:rsidTr="00957B9F">
        <w:trPr>
          <w:trHeight w:val="159"/>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Тип шва по 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Толщина металла,</w:t>
            </w:r>
          </w:p>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К-во</w:t>
            </w:r>
          </w:p>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 сварочной проволоки, 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Расход защитного</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газа,</w:t>
            </w:r>
          </w:p>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л/мин</w:t>
            </w:r>
          </w:p>
        </w:tc>
      </w:tr>
      <w:tr w:rsidR="00957B9F" w:rsidRPr="00957B9F" w:rsidTr="00957B9F">
        <w:trPr>
          <w:trHeight w:val="254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С25 (двусторонний с двумя симметричными скосами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75-80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95-100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105-110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115-120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26-29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45-49</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 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16-24</w:t>
            </w:r>
          </w:p>
        </w:tc>
      </w:tr>
      <w:tr w:rsidR="00957B9F" w:rsidRPr="00957B9F" w:rsidTr="00957B9F">
        <w:trPr>
          <w:trHeight w:val="834"/>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У1 (односторонний с отбортовкой одной</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0,5-1,0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183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У5 (двусторонний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 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85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У7 (двусторонний со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29-33</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80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У8(двусторонний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183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У8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56- 63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65- 70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75-80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20- 22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40-44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16- 24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84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У10 (двусторонний со скосом двух</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19-23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25-29</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 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1,6 2,0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200 350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340- 500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32 -36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16 -24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10-24</w:t>
            </w:r>
          </w:p>
        </w:tc>
      </w:tr>
      <w:tr w:rsidR="00957B9F" w:rsidRPr="00957B9F" w:rsidTr="00957B9F">
        <w:trPr>
          <w:trHeight w:val="2731"/>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Т3 (двусторонний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32- 36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32 -36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320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Т7 (двусторонний со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33-34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23-28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340 -500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33-36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356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Т8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63 -65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33-38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51-56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60-65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340 -500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319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Т9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12 -14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80-85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90-95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36-38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40-42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 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 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30- 34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3528"/>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Н2(двусторонний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48-63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35-42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45-60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80-92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250 -350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320-450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340-500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17-18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20- 22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8.</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Ориентировочные режимы сварки в смесях газов на основе аргона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2093"/>
        <w:gridCol w:w="1073"/>
        <w:gridCol w:w="1062"/>
        <w:gridCol w:w="1229"/>
        <w:gridCol w:w="1288"/>
        <w:gridCol w:w="1424"/>
        <w:gridCol w:w="800"/>
      </w:tblGrid>
      <w:tr w:rsidR="00957B9F" w:rsidRPr="00957B9F" w:rsidTr="00957B9F">
        <w:trPr>
          <w:trHeight w:val="1114"/>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Тип шва по 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Толщина металла,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К-во 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сварочной проволоки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Рacход смеси газов, л/мин</w:t>
            </w:r>
          </w:p>
        </w:tc>
      </w:tr>
      <w:tr w:rsidR="00957B9F" w:rsidRPr="00957B9F" w:rsidTr="00957B9F">
        <w:trPr>
          <w:trHeight w:val="59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 (односторонний с отбортовкой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0,5-1,0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80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С2(односторонний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1273"/>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С4 (односторонний</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на съёмной подкладке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564"/>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С5(односторонний на остающейся подкладке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46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С7 (двусторонний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78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С9(односторонний на съёмной подкладке со скосом</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774"/>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С10 (односторонний на остающейся подкладке со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81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С12 (двусторонний с криволинейным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292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С15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75-80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95-100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 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788"/>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С18 (односторонний на съемной подкладке со скосом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760"/>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С19(односторонний на остающейся подкладке со скосом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49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C21(двусторонний со скосом двух</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289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С25 (двусторонний с двумя симметричными скосами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63-70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75-80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85-90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95-100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105-110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115-120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26-29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45-49</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42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У1 (односторонний с отбортовкой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0,5-1,0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tc>
      </w:tr>
      <w:tr w:rsidR="00957B9F" w:rsidRPr="00957B9F" w:rsidTr="00957B9F">
        <w:trPr>
          <w:trHeight w:val="1990"/>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У5(двусторонний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 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1,6-2, 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14-24</w:t>
            </w:r>
          </w:p>
        </w:tc>
      </w:tr>
      <w:tr w:rsidR="00957B9F" w:rsidRPr="00957B9F" w:rsidTr="00957B9F">
        <w:trPr>
          <w:trHeight w:val="42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У7 (двусторонний со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53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У8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998"/>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У10 (двусторонний со скосами двух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r>
      <w:tr w:rsidR="00957B9F" w:rsidRPr="00957B9F" w:rsidTr="00957B9F">
        <w:trPr>
          <w:trHeight w:val="278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Т3 (двусторонний без скоса кро-</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38-48</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l,6-2,0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25-32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620"/>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Т7 (двусторонний со скосом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43-53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11-12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13-16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23-28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466" w:type="dxa"/>
        <w:tblCellMar>
          <w:left w:w="0" w:type="dxa"/>
          <w:right w:w="0" w:type="dxa"/>
        </w:tblCellMar>
        <w:tblLook w:val="04A0"/>
      </w:tblPr>
      <w:tblGrid>
        <w:gridCol w:w="1851"/>
        <w:gridCol w:w="1110"/>
        <w:gridCol w:w="1092"/>
        <w:gridCol w:w="1272"/>
        <w:gridCol w:w="1336"/>
        <w:gridCol w:w="1461"/>
        <w:gridCol w:w="847"/>
      </w:tblGrid>
      <w:tr w:rsidR="00957B9F" w:rsidRPr="00957B9F" w:rsidTr="00957B9F">
        <w:trPr>
          <w:trHeight w:val="411"/>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lastRenderedPageBreak/>
              <w:t>Тип шва по </w:t>
            </w:r>
            <w:r w:rsidRPr="00957B9F">
              <w:rPr>
                <w:rFonts w:ascii="Times New Roman" w:eastAsia="Times New Roman" w:hAnsi="Times New Roman" w:cs="Times New Roman"/>
                <w:b/>
                <w:bCs/>
                <w:color w:val="555555"/>
                <w:sz w:val="24"/>
                <w:szCs w:val="24"/>
              </w:rPr>
              <w:br/>
              <w:t>ГОСТ 14771-76</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Толщина металла,</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К-во проходов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Диаметр</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сварочной проволоки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мм</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Сила сварочного тока, А</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Напряжение дуги,</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Рacход смеси газов, л/мин</w:t>
            </w:r>
          </w:p>
        </w:tc>
      </w:tr>
      <w:tr w:rsidR="00957B9F" w:rsidRPr="00957B9F" w:rsidTr="00957B9F">
        <w:trPr>
          <w:trHeight w:val="3066"/>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Т8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33-39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51-56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60-65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r w:rsidR="00957B9F" w:rsidRPr="00957B9F" w:rsidTr="00957B9F">
        <w:trPr>
          <w:trHeight w:val="257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Т9 (двусторонний с двумя симметричными скосами одной кромки)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63-65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80-85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90-95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6-7</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10-11</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22-24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36-38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40-42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16-34</w:t>
            </w:r>
          </w:p>
        </w:tc>
      </w:tr>
      <w:tr w:rsidR="00957B9F" w:rsidRPr="00957B9F" w:rsidTr="00957B9F">
        <w:trPr>
          <w:trHeight w:val="3610"/>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Н2 (двусторонний без скоса кромок)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5,0-6,0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7,0-8,0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9,0-10,0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32-34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36-40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42-45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48-53</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56-60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15-18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28-35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35-42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45-60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65-75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80-92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0,8-1,0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80-100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100-130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180-240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200-320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240-350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300-480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18-19</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18-20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21-24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24-26</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26-32</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8-12</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12-15</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14-18</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16-20</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16-24</w:t>
            </w:r>
          </w:p>
        </w:tc>
      </w:tr>
    </w:tbl>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8.</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КОНТРОЛЬ</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КАЧЕСТВА</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8.1.  Контроль качества сварных соединений производится в соответствии с требованиями ОСТ 26-291-79, технических условий на изделие, чертежей и настоящего РД.</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8.2. Пооперационный контроль качества включает: проверку соответствия основного металла и сварочных материалов требованиям стандартов и технических условий;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контроль качества подготовки кромок и правильности сборки; контроль режимов сварки и последовательности наложения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контроль качества сварных соединений.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8.3.  При контроле качества подготовки и сборки деталей под сварку проверяются: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чистота поверхности свариваемых кромок и основного металла, прилегающего к свариваемым кромкам;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правильность сборки деталей;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качество и расположений прихваток, зазоры в соединениях, смещение кромок и др.</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8.4. В процессе сварки контролируются: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режимы сварки;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последовательность наложения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тщательность послойной зачистки швов от шлаковой пленки;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отсутствие трещин, подрезов и других дефектов;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правильность клеймения сварных швов.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8.5. Контроль качества сварных соединений производится в соответствии с ОСТ 26-291-79 следующими методами: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внешним осмотром и измерениями (ГОСТ 3242-79);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механическими испытаниями (ГОСТ 6996-66);</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металлографическими исследованиями (ОСТ 26-1379-76);</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просвечиванием сварных соединений рентгеновскими, гамма-лучами (Г0СТ 7512-82);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ультразвуковой дефектоскопией (ГОСТ 14762-76);</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гидравлическими и пневматическими испытаниями (ГОСТ 22161-76);</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другими методами испытаний, если они предусмотрены техническими условиями на изготовление данного изделия.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Объем и методы контроля устанавливаются требованиями чертежей и технических условий на изделие. Качество и свойства сварных соединений должны отвечать требованиям ОСТ 26-291-79, технических условий на изделие и чертежей.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8.6. Механические свойства сварных соединений аппаратуры из углеродистых и низколегированных сталей должны удовлетворять требованиям табл. 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8.7. Показатели механических свойств считаются неудовлетворительными, если хотя бы один из результатов показал свойства ниже установленных норм: предела прочности на 7%, угла статистического изгиба на 10%. При испытании ударной вязкости результат считается неудовлетворенным, если хотя бы один из образцов показал результат ниже указанного в табл.9.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8.8. Испытания сварных соединений на ударную вязкость производятся на образцах для аппаратов с толщиной стенки 12 мм и более, работающих под давлением свыше 50 кгс/см</w:t>
      </w:r>
      <w:r w:rsidRPr="00957B9F">
        <w:rPr>
          <w:rFonts w:ascii="Times New Roman" w:eastAsia="Times New Roman" w:hAnsi="Times New Roman" w:cs="Times New Roman"/>
          <w:color w:val="555555"/>
          <w:sz w:val="12"/>
          <w:szCs w:val="12"/>
          <w:vertAlign w:val="superscript"/>
        </w:rPr>
        <w:t>2</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при температуре 20°С или выше 450°С, а также - ниже минус 20</w:t>
      </w:r>
      <w:r w:rsidRPr="00957B9F">
        <w:rPr>
          <w:rFonts w:ascii="Times New Roman" w:eastAsia="Times New Roman" w:hAnsi="Times New Roman" w:cs="Times New Roman"/>
          <w:color w:val="555555"/>
          <w:sz w:val="12"/>
          <w:szCs w:val="12"/>
          <w:vertAlign w:val="superscript"/>
        </w:rPr>
        <w:t>0</w:t>
      </w:r>
      <w:r w:rsidRPr="00957B9F">
        <w:rPr>
          <w:rFonts w:ascii="Times New Roman" w:eastAsia="Times New Roman" w:hAnsi="Times New Roman" w:cs="Times New Roman"/>
          <w:color w:val="555555"/>
          <w:sz w:val="17"/>
          <w:szCs w:val="17"/>
        </w:rPr>
        <w:t>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8.9. Механические испытания проводятся на образцах, вырезанных из контрольных пластин, сваренных с применением тех же материалов, режимов сварки, что и изготавливаемое изделие.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9</w:t>
      </w:r>
      <w:r w:rsidRPr="00957B9F">
        <w:rPr>
          <w:rFonts w:ascii="Times New Roman" w:eastAsia="Times New Roman" w:hAnsi="Times New Roman" w:cs="Times New Roman"/>
          <w:color w:val="555555"/>
          <w:sz w:val="17"/>
          <w:szCs w:val="17"/>
        </w:rPr>
        <w:t>. Механические свойства сварных соединений</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tbl>
      <w:tblPr>
        <w:tblW w:w="0" w:type="auto"/>
        <w:tblInd w:w="1174" w:type="dxa"/>
        <w:tblCellMar>
          <w:left w:w="0" w:type="dxa"/>
          <w:right w:w="0" w:type="dxa"/>
        </w:tblCellMar>
        <w:tblLook w:val="04A0"/>
      </w:tblPr>
      <w:tblGrid>
        <w:gridCol w:w="2354"/>
        <w:gridCol w:w="2340"/>
        <w:gridCol w:w="3567"/>
      </w:tblGrid>
      <w:tr w:rsidR="00957B9F" w:rsidRPr="00957B9F" w:rsidTr="00957B9F">
        <w:trPr>
          <w:trHeight w:val="370"/>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Наименование показателей механических свойств</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Для низкоуглеродистых сталей</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Для низколегированных марганцовистых и марганцовистокремнистых сталей</w:t>
            </w:r>
          </w:p>
        </w:tc>
      </w:tr>
      <w:tr w:rsidR="00957B9F" w:rsidRPr="00957B9F" w:rsidTr="00957B9F">
        <w:trPr>
          <w:trHeight w:val="452"/>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Предел прочности на разрыв при температуре плюс 20 °С, кгс/мм</w:t>
            </w:r>
            <w:r w:rsidRPr="00957B9F">
              <w:rPr>
                <w:rFonts w:ascii="Times New Roman" w:eastAsia="Times New Roman" w:hAnsi="Times New Roman" w:cs="Times New Roman"/>
                <w:color w:val="555555"/>
                <w:sz w:val="17"/>
                <w:szCs w:val="17"/>
                <w:vertAlign w:val="superscript"/>
              </w:rPr>
              <w:t>2</w:t>
            </w:r>
          </w:p>
        </w:tc>
        <w:tc>
          <w:tcPr>
            <w:tcW w:w="0" w:type="auto"/>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ниже нижнего предела прочности основного металла по стандарту или техническим условиям для данной марки стали</w:t>
            </w:r>
          </w:p>
        </w:tc>
      </w:tr>
      <w:tr w:rsidR="00957B9F" w:rsidRPr="00957B9F" w:rsidTr="00957B9F">
        <w:trPr>
          <w:trHeight w:val="21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Угол статического изгиба, град., при толщине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w:t>
            </w:r>
          </w:p>
        </w:tc>
      </w:tr>
      <w:tr w:rsidR="00957B9F" w:rsidRPr="00957B9F" w:rsidTr="00957B9F">
        <w:trPr>
          <w:trHeight w:val="21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до 20 мм включительно</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80</w:t>
            </w:r>
          </w:p>
        </w:tc>
      </w:tr>
      <w:tr w:rsidR="00957B9F" w:rsidRPr="00957B9F" w:rsidTr="00957B9F">
        <w:trPr>
          <w:trHeight w:val="215"/>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св. 20 мм</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100</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60</w:t>
            </w:r>
          </w:p>
        </w:tc>
      </w:tr>
      <w:tr w:rsidR="00957B9F" w:rsidRPr="00957B9F" w:rsidTr="00957B9F">
        <w:trPr>
          <w:trHeight w:val="15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Ударная вязкость, кгс м/см</w:t>
            </w:r>
            <w:r w:rsidRPr="00957B9F">
              <w:rPr>
                <w:rFonts w:ascii="Times New Roman" w:eastAsia="Times New Roman" w:hAnsi="Times New Roman" w:cs="Times New Roman"/>
                <w:color w:val="555555"/>
                <w:sz w:val="17"/>
                <w:szCs w:val="17"/>
                <w:vertAlign w:val="superscript"/>
              </w:rPr>
              <w:t>2</w:t>
            </w:r>
            <w:r w:rsidRPr="00957B9F">
              <w:rPr>
                <w:rFonts w:ascii="Times New Roman" w:eastAsia="Times New Roman" w:hAnsi="Times New Roman" w:cs="Times New Roman"/>
                <w:color w:val="555555"/>
                <w:sz w:val="24"/>
                <w:szCs w:val="24"/>
              </w:rPr>
              <w:t>:</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w:t>
            </w:r>
          </w:p>
        </w:tc>
      </w:tr>
      <w:tr w:rsidR="00957B9F" w:rsidRPr="00957B9F" w:rsidTr="00957B9F">
        <w:trPr>
          <w:trHeight w:val="159"/>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при температуре плюс 20°С, не менее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59" w:lineRule="atLeast"/>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5</w:t>
            </w:r>
          </w:p>
        </w:tc>
      </w:tr>
      <w:tr w:rsidR="00957B9F" w:rsidRPr="00957B9F" w:rsidTr="00957B9F">
        <w:trPr>
          <w:trHeight w:val="327"/>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при температуре ниже минус 20, не менее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3</w:t>
            </w:r>
          </w:p>
        </w:tc>
      </w:tr>
      <w:tr w:rsidR="00957B9F" w:rsidRPr="00957B9F" w:rsidTr="00957B9F">
        <w:trPr>
          <w:trHeight w:val="313"/>
        </w:trPr>
        <w:tc>
          <w:tcPr>
            <w:tcW w:w="0" w:type="auto"/>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Просвет между сжимаемыми поверхностями при сплющивании стыковых соединений труб, мм</w:t>
            </w:r>
          </w:p>
        </w:tc>
        <w:tc>
          <w:tcPr>
            <w:tcW w:w="0" w:type="auto"/>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ниже норм, установленных соответствующими ГОСТ или ТУ для труб</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Виды механических испытаний, а также типы и количество образцов регламентируются</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ОСТ 26-291-79.</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9.</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ИСПРАВЛЕНИЕ</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ДЕФЕКТОВ</w:t>
      </w:r>
      <w:r w:rsidRPr="00957B9F">
        <w:rPr>
          <w:rFonts w:ascii="Times New Roman" w:eastAsia="Times New Roman" w:hAnsi="Times New Roman" w:cs="Times New Roman"/>
          <w:b/>
          <w:bCs/>
          <w:color w:val="555555"/>
          <w:sz w:val="17"/>
        </w:rPr>
        <w:t> </w:t>
      </w:r>
      <w:r w:rsidRPr="00957B9F">
        <w:rPr>
          <w:rFonts w:ascii="Times New Roman" w:eastAsia="Times New Roman" w:hAnsi="Times New Roman" w:cs="Times New Roman"/>
          <w:b/>
          <w:bCs/>
          <w:color w:val="555555"/>
          <w:sz w:val="17"/>
          <w:szCs w:val="17"/>
        </w:rPr>
        <w:t>СВАРКИ</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   Исправлению подлежат дефекты, наличие которых в сварных швах не допускается</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ОСТ 26-291-79 и техническими условиями на изготовление изделия.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9.2.   Исправлению подлежат следующие дефекты: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несоответствие размеров и форм требованиям стандартов,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технических условий или чертежей на изделие;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наплывы металла шва;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подрезы и прожоги основного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незаверенные кратеры;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свищи, поры, шлаковые включения;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непровары, трещины.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9.3. Границы дефектных участков сварных соединений, подлежащих исправлению, должны быть отмечены краской или мелом.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9.4. Удаление дефектных участков швов должно производиться механическим способом или воздушно-дуговой стройкой с последующей зачисткой поверхностей наждачным кругом до чистого металла Воздушно-дуговую строжку рекомендуется выполнять на переменном токе, обеспечивающим меньшее науглероживание кромок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9.5. Качество подготовки под заварку участков, с которых удалены дефекты, до их заварки должно быть проверено производственным мастером и работником ОТК.</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9.6. Требования к технологии заварки дефектных участков сварных соединений те же, что и к сварке изделий. При этом рекомендуется использовать минимальные режимы сварки, установленные технологическим процессом.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9.7. Все исправленные участки сварных швов подлежат техническому контролю, о чем производится запись в журнале учета контроля качества сварных швов. Все данные по повторным просвечиваниям должны быть занесены в "Журнал контроля сварных швов просвечиванием".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К качеству исправленного участка шва надлежит предъявлять такие же требования, как и к основному шву.</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9.8. Если при контроле качества исправленного участка в нем вновь будут обнаружены дефекты, превышающие допускаемые ОСТ 26-291-79, то производится повторное исправление в таком же порядке, как первое.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9.9. При обнаружении дефектов в шве после повторного исправления вопрос о возможности и способе исправления сварного шва решается ОТК завода с ОГК и ОГС.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9.10. Исправление заниженных размеров сварных швов производится путем дополнительного наложения валиков. Перед сваркой должна, обязательно производиться зачистка ранее выполненного шва и мест наложения дополнительных валиков.</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9.11. Исправление завышенных размеров сварных: швов производится путем местной подшлифовки или местной подрубки зубилом с последующей зачисткой наждачным кругом для сохранения плавности поверхности шва и сопряжения его с изделием.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9.12.     Наплывы сварных швов исправляются путем шлифовки наждачным кругом, местной подрубкой, воздушно-дуговой строжкой с последующей зачисткой наждачным кругом. При необходимости доведения шва до заданных размеров производится наплавка.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9.13.     Исправление швов с подрезами, углублениями между валиками наружного слоя шва и неплавным переходом шва к основному металлу производится зачисткой или путем наплавки валика в углубления. Перед заваркой участков швов с подрезами и углублениями между валиками производится зачистка металла шва и основного металла, прилегающего к шву, металлической щеткой, пневматическим зубилом или наждачным кругом до чистого металла.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Участки с дефектами в виде подрезов основного металла, обработанные наждачным кругом, должны быть подварены и зачинены.</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9.14.      Дефектные участки швов с прожогами, протёками и свищами удаляются до здорового металла. Разделка дефектных мест должна обеспечивать возможность полного провара исправляемого участка.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9.15.      Незаделанные кратеры швов исправляются заваркой по предварительно зачищенному металлу. При наличии в кратерах трещин, пор и шлаковых включений некачественный металл должен быть удален до здорового металла и только после этого производится сварка.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9.16. В случае если газовые поры и шлаковые включения носят местный характер, дефектный участок сварного шва удаляется до здорового металла с образованием</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VВ случае если газовые поры и шлаковые включения носят местный характер, дефектный участок сварного шва удаляется до здорового металла с образованием -образной разделки кромок с углом раскрытия не меньше 60°. Если разовые поры и шлаковые включения распространяются на все сечения шва, дефектный участок сварного шва удаляется полностью с образованием первоначальной формы разделка под сварку.В случае если газовые поры и шлаковые включения носят местный характер, дефектный участок сварного шва удаляется до здорового металла с образованием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lastRenderedPageBreak/>
        <w:t>9.17. Исправление швов с непроварами и трещинами производится путем удаления дефектного участка с последующей заваркой. Перед удалением трещины ее концы рекомендуется засверливать. Засверливание производится сверлом диаметром 10-12 мм с углом заточки 116-118</w:t>
      </w:r>
      <w:r w:rsidRPr="00957B9F">
        <w:rPr>
          <w:rFonts w:ascii="Times New Roman" w:eastAsia="Times New Roman" w:hAnsi="Times New Roman" w:cs="Times New Roman"/>
          <w:color w:val="555555"/>
          <w:sz w:val="12"/>
          <w:szCs w:val="12"/>
          <w:vertAlign w:val="superscript"/>
        </w:rPr>
        <w:t>о</w:t>
      </w:r>
      <w:r w:rsidRPr="00957B9F">
        <w:rPr>
          <w:rFonts w:ascii="Times New Roman" w:eastAsia="Times New Roman" w:hAnsi="Times New Roman" w:cs="Times New Roman"/>
          <w:color w:val="555555"/>
          <w:sz w:val="17"/>
          <w:szCs w:val="17"/>
        </w:rPr>
        <w:t>.</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Если трещины несквозные, дефектный участок удаляется до здорового металла. В месте удаления дефекта производится V -образная разделка кромок. Если трещина сквозная, дефектный участок сварного шва удаляется полностью на всём протяжении трещины с образованием первоначальной разделки,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Надёжность удаления трещин проверяется люминесцентным или цветным методом.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10. ТРЕБ0ВАНИЯ БЕЗОПАСНОСТИ</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10.1. Требования безопасности и производственной санитарии при выполнении сварочных работ должны обеспечиваться соблюдением условий ГОСТ 12.1.004-76, ГОСТ 12.1.005-76,</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ГОСТ 12.3.003-75, "Санитарных правил при сварке, наплавке и резке металла" № 1009-73, утвержденных Минздравом СССР 5 марта 1973 года, "Санитарных правил организации технологических процессов и гигиенических требований к производственному оборудованию"</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 1042-73, утверждённых Минздравом СССР 4 апрели 1973 г.</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10.2. К работе по электросварке допускаются лица, прошедшие предварительный медицинский осмотр, соответствующее обучение, инструктаж и проверку знаний требований безопасности с оформлением в специальном журнале и имеющие квалификационное удостоверение. В дальнейшем электросварщики должны проходить периодический медицинский осмотр в соответствии с приказом Минздрава СССР от 30.05.69 г. № 400.</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10.3. Инструктаж электросварщиков по безопасности труда должен проводиться не реже одного раза в три месяца.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10.4. Сварочный пост должен быть оборудован местной эффективной вентиляцией, а в случае двух постов необходима также общая приточно-вытяжная вентиляция.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10.5. Сварка в закрытых объемах допускается только при наличии местного отсоса с удалением воздуха от одного сварочного поста не менее 150 м</w:t>
      </w:r>
      <w:r w:rsidRPr="00957B9F">
        <w:rPr>
          <w:rFonts w:ascii="Times New Roman" w:eastAsia="Times New Roman" w:hAnsi="Times New Roman" w:cs="Times New Roman"/>
          <w:color w:val="555555"/>
          <w:sz w:val="12"/>
          <w:szCs w:val="12"/>
          <w:vertAlign w:val="superscript"/>
        </w:rPr>
        <w:t>3</w:t>
      </w:r>
      <w:r w:rsidRPr="00957B9F">
        <w:rPr>
          <w:rFonts w:ascii="Times New Roman" w:eastAsia="Times New Roman" w:hAnsi="Times New Roman" w:cs="Times New Roman"/>
          <w:color w:val="555555"/>
          <w:sz w:val="17"/>
          <w:szCs w:val="17"/>
        </w:rPr>
        <w:t>/ч, причем необходимо производить отсос, как из верхних, так и нижних зон. Целесообразно применение защитных пневмомасок с принудительной подачей очищенного сжатого воздуха в маску сварщика типа ПТС, разработанных институтом биофизики Минздрава СССР или противогазов по ГОСТ 10183-77. Классификация средств индивидуальной защиты органов дыхания приводится в</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br/>
        <w:t>ГОСТ 12.4.034-78.</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10.6. Питание подогревателя углекислого газа должно осуществляться от сети с напряжением не выше 36В, мощностью не более 70Вт.</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10.7.    Валлоны необходимо предохранять от толчков и ударов, при их транспортировке следует пользоваться носилками или специальными тележками, запрещается переносить баллоны на руках.</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10.8.    При эксплуатации баллоны должны устанавливаться в вертикальном положении на расстоянии не менее 1м от отопительных приборов и укрепляться хомутом или цепью в специальной стойке.</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10.9. Сварочные посты должны быть оборудованы электрическим освещением. При необходимости применения местного освещения переносной светильник напряжением не свыше 12B должен быть защищен колпаком и сеткой, иметь исправный шланговый провод.</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10.10.    Места выполнения сварочных работ должны быть ограждены несгораемыми ширмами, щитами и т.п. Сварочные кабины рекомендуется внутри окрашивать светло-серой, зеленой окраской, снижающей интенсивность отраженных лучей. Обшивка кабин выполняется из несгораемых материалов, между обшивкой и полом следует оставлять зазор 300 мм.</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10.11.    Сварщики должны обеспечиваться спецодеждой в соответствии с ГОСТ 12.4.103-80.</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10.12. Для защиты глаз и лица используются щитки по ГОСТ 12.4.035-78 со светофильтром по ГОСТ 12.4.080-79, покровным стеклом по ГОСТ111-78 и подложкой из оргстекла.</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11. ПЕРЕЧЕНЬ НАИБОЛЕЕ ЧАСТО ВСТРЕЧАЮЩИХСЯ ИЛИ ВОЗМОЖНЫХ НЕИСПРАВНОСТЕЙ СВАРОЧНОГО ОБОРУДОВАНИЯ</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При полуавтоматической сварке в защитных газах качество сварного шва в значительной степени зависит от исправности сварочного оборудования.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Перечень наиболее часто встречающихся или возможных неисправностей сварочного оборудования приведен в табл. 10.</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Таблица 10</w:t>
      </w:r>
      <w:r w:rsidRPr="00957B9F">
        <w:rPr>
          <w:rFonts w:ascii="Times New Roman" w:eastAsia="Times New Roman" w:hAnsi="Times New Roman" w:cs="Times New Roman"/>
          <w:color w:val="555555"/>
          <w:sz w:val="17"/>
          <w:szCs w:val="17"/>
        </w:rPr>
        <w:t>. Перечень неисправностей сварочного оборудования</w:t>
      </w:r>
    </w:p>
    <w:tbl>
      <w:tblPr>
        <w:tblW w:w="0" w:type="auto"/>
        <w:tblCellMar>
          <w:left w:w="0" w:type="dxa"/>
          <w:right w:w="0" w:type="dxa"/>
        </w:tblCellMar>
        <w:tblLook w:val="04A0"/>
      </w:tblPr>
      <w:tblGrid>
        <w:gridCol w:w="3506"/>
        <w:gridCol w:w="3034"/>
        <w:gridCol w:w="2895"/>
      </w:tblGrid>
      <w:tr w:rsidR="00957B9F" w:rsidRPr="00957B9F" w:rsidTr="00957B9F">
        <w:trPr>
          <w:cantSplit/>
          <w:trHeight w:val="648"/>
          <w:tblHeader/>
        </w:trPr>
        <w:tc>
          <w:tcPr>
            <w:tcW w:w="0" w:type="auto"/>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Наименование неисправности, внешнее проявление и дополнительные признаки</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Вероятные причины</w:t>
            </w:r>
          </w:p>
        </w:tc>
        <w:tc>
          <w:tcPr>
            <w:tcW w:w="0" w:type="auto"/>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jc w:val="center"/>
              <w:rPr>
                <w:rFonts w:ascii="Times New Roman" w:eastAsia="Times New Roman" w:hAnsi="Times New Roman" w:cs="Times New Roman"/>
                <w:color w:val="555555"/>
                <w:sz w:val="24"/>
                <w:szCs w:val="24"/>
              </w:rPr>
            </w:pPr>
            <w:r w:rsidRPr="00957B9F">
              <w:rPr>
                <w:rFonts w:ascii="Times New Roman" w:eastAsia="Times New Roman" w:hAnsi="Times New Roman" w:cs="Times New Roman"/>
                <w:b/>
                <w:bCs/>
                <w:color w:val="555555"/>
                <w:sz w:val="24"/>
                <w:szCs w:val="24"/>
              </w:rPr>
              <w:t>Способы устранения</w:t>
            </w:r>
          </w:p>
        </w:tc>
      </w:tr>
      <w:tr w:rsidR="00957B9F" w:rsidRPr="00957B9F" w:rsidTr="00957B9F">
        <w:trPr>
          <w:cantSplit/>
          <w:trHeight w:val="173"/>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 xml:space="preserve">В процессе сварки наблюдается неравномерная подача проволоки и обрывы дуги при нормально работающем двигателе </w:t>
            </w:r>
            <w:r w:rsidRPr="00957B9F">
              <w:rPr>
                <w:rFonts w:ascii="Times New Roman" w:eastAsia="Times New Roman" w:hAnsi="Times New Roman" w:cs="Times New Roman"/>
                <w:color w:val="555555"/>
                <w:sz w:val="24"/>
                <w:szCs w:val="24"/>
              </w:rPr>
              <w:lastRenderedPageBreak/>
              <w:t>подающего механизма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lastRenderedPageBreak/>
              <w:t>Слабый зажим проволоки в подающем механизме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Поджать прижимной ролик</w:t>
            </w:r>
          </w:p>
        </w:tc>
      </w:tr>
      <w:tr w:rsidR="00957B9F" w:rsidRPr="00957B9F" w:rsidTr="00957B9F">
        <w:trPr>
          <w:cantSplit/>
          <w:trHeight w:val="17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Изношен подающий ролик</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ролик</w:t>
            </w:r>
          </w:p>
        </w:tc>
      </w:tr>
      <w:tr w:rsidR="00957B9F" w:rsidRPr="00957B9F" w:rsidTr="00957B9F">
        <w:trPr>
          <w:cantSplit/>
          <w:trHeight w:val="17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Заедание электродной проволоки в мундштуке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Прочистить мундштук от брызг или заменить в случае подгорания</w:t>
            </w:r>
          </w:p>
        </w:tc>
      </w:tr>
      <w:tr w:rsidR="00957B9F" w:rsidRPr="00957B9F" w:rsidTr="00957B9F">
        <w:trPr>
          <w:cantSplit/>
          <w:trHeight w:val="17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Заедание проволоки в шланге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Шлаг промыть бензином</w:t>
            </w:r>
          </w:p>
        </w:tc>
      </w:tr>
      <w:tr w:rsidR="00957B9F" w:rsidRPr="00957B9F" w:rsidTr="00957B9F">
        <w:trPr>
          <w:cantSplit/>
          <w:trHeight w:val="17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Плохой контакт</w:t>
            </w:r>
          </w:p>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проволоки в наконечнике из-за того, что внутренний канал наконечника разработался</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наконечник</w:t>
            </w:r>
          </w:p>
        </w:tc>
      </w:tr>
      <w:tr w:rsidR="00957B9F" w:rsidRPr="00957B9F" w:rsidTr="00957B9F">
        <w:trPr>
          <w:cantSplit/>
          <w:trHeight w:val="1291"/>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Проволока плохо намотана в кассете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кассету</w:t>
            </w:r>
          </w:p>
        </w:tc>
      </w:tr>
      <w:tr w:rsidR="00957B9F" w:rsidRPr="00957B9F" w:rsidTr="00957B9F">
        <w:trPr>
          <w:cantSplit/>
          <w:trHeight w:val="247"/>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 процессе сварки наблюдается неравномерная подача проволоки и обрывы дуги при нормально работающем двигателе подающего механизма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Кассета туго насажена на ось и вращается неравномерно</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Уменьшить диаметр оси шлифовкой</w:t>
            </w:r>
          </w:p>
        </w:tc>
      </w:tr>
      <w:tr w:rsidR="00957B9F" w:rsidRPr="00957B9F" w:rsidTr="00957B9F">
        <w:trPr>
          <w:cantSplit/>
          <w:trHeight w:val="247"/>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Многократные перегибы в шланге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Расположить шланг так, чтобы места перегибов были плавными</w:t>
            </w:r>
          </w:p>
        </w:tc>
      </w:tr>
      <w:tr w:rsidR="00957B9F" w:rsidRPr="00957B9F" w:rsidTr="00957B9F">
        <w:trPr>
          <w:cantSplit/>
          <w:trHeight w:val="247"/>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Неисправен источник питания, в результате чего наблюдаются большие колебания сварочного тока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Отремонтировать или заменить источник питания</w:t>
            </w:r>
          </w:p>
        </w:tc>
      </w:tr>
      <w:tr w:rsidR="00957B9F" w:rsidRPr="00957B9F" w:rsidTr="00957B9F">
        <w:trPr>
          <w:cantSplit/>
          <w:trHeight w:val="247"/>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Для сварки применяется ржавая сварочная проволока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кассету с ржавой проволокой и прочистить спираль шланга</w:t>
            </w:r>
          </w:p>
        </w:tc>
      </w:tr>
      <w:tr w:rsidR="00957B9F" w:rsidRPr="00957B9F" w:rsidTr="00957B9F">
        <w:trPr>
          <w:cantSplit/>
          <w:trHeight w:val="247"/>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подобран режим сварки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Отрегулировать скорость подачи проволоки и сварочное напряжение</w:t>
            </w:r>
          </w:p>
        </w:tc>
      </w:tr>
      <w:tr w:rsidR="00957B9F" w:rsidRPr="00957B9F" w:rsidTr="00957B9F">
        <w:trPr>
          <w:cantSplit/>
          <w:trHeight w:val="327"/>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Электродная проволока образует петлю между подающим роликом и наконечником шланга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Входная трубка - шланга далеко отстоит от подающего ролика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Приблизить входную трубу шланга к подающему ролику</w:t>
            </w:r>
          </w:p>
        </w:tc>
      </w:tr>
      <w:tr w:rsidR="00957B9F" w:rsidRPr="00957B9F" w:rsidTr="00957B9F">
        <w:trPr>
          <w:cantSplit/>
          <w:trHeight w:val="187"/>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87"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Засорен шланг</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87"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Промыть шланг</w:t>
            </w:r>
          </w:p>
        </w:tc>
      </w:tr>
      <w:tr w:rsidR="00957B9F" w:rsidRPr="00957B9F" w:rsidTr="00957B9F">
        <w:trPr>
          <w:cantSplit/>
          <w:trHeight w:val="174"/>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Проволока не подается</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включён механизм подачи проволоки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работу электросхемы</w:t>
            </w:r>
          </w:p>
        </w:tc>
      </w:tr>
      <w:tr w:rsidR="00957B9F" w:rsidRPr="00957B9F" w:rsidTr="00957B9F">
        <w:trPr>
          <w:cantSplit/>
          <w:trHeight w:val="174"/>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Буксуют ролики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Отрегулировать давление нажимного ролика</w:t>
            </w:r>
          </w:p>
        </w:tc>
      </w:tr>
      <w:tr w:rsidR="00957B9F" w:rsidRPr="00957B9F" w:rsidTr="00957B9F">
        <w:trPr>
          <w:cantSplit/>
          <w:trHeight w:val="439"/>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Конец проволоки "примерз" к наконечнику</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Освободить от "примерзания" проволоку и зачистить наконечник</w:t>
            </w:r>
          </w:p>
        </w:tc>
      </w:tr>
      <w:tr w:rsidR="00957B9F" w:rsidRPr="00957B9F" w:rsidTr="00957B9F">
        <w:trPr>
          <w:cantSplit/>
          <w:trHeight w:val="83"/>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Газ не поступает в зону сварки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открыт вентиль баллона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Открыть вентиль баллона</w:t>
            </w:r>
          </w:p>
        </w:tc>
      </w:tr>
      <w:tr w:rsidR="00957B9F" w:rsidRPr="00957B9F" w:rsidTr="00957B9F">
        <w:trPr>
          <w:cantSplit/>
          <w:trHeight w:val="8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открыт редуктор</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Открыть редуктор</w:t>
            </w:r>
          </w:p>
        </w:tc>
      </w:tr>
      <w:tr w:rsidR="00957B9F" w:rsidRPr="00957B9F" w:rsidTr="00957B9F">
        <w:trPr>
          <w:cantSplit/>
          <w:trHeight w:val="8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Отсутствие давления в баллоне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баллон</w:t>
            </w:r>
          </w:p>
        </w:tc>
      </w:tr>
      <w:tr w:rsidR="00957B9F" w:rsidRPr="00957B9F" w:rsidTr="00957B9F">
        <w:trPr>
          <w:cantSplit/>
          <w:trHeight w:val="8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Пережата или оборвана трубка подвода углекисло го газа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8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Найти место пережатия или обрыва и устранить</w:t>
            </w:r>
          </w:p>
        </w:tc>
      </w:tr>
      <w:tr w:rsidR="00957B9F" w:rsidRPr="00957B9F" w:rsidTr="00957B9F">
        <w:trPr>
          <w:cantSplit/>
          <w:trHeight w:val="171"/>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исправен газоэлектрический клапан</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1"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Отремонтировать</w:t>
            </w:r>
          </w:p>
        </w:tc>
      </w:tr>
      <w:tr w:rsidR="00957B9F" w:rsidRPr="00957B9F" w:rsidTr="00957B9F">
        <w:trPr>
          <w:cantSplit/>
          <w:trHeight w:val="425"/>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"Замёрз" редуктор</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исправность подогревателя газа</w:t>
            </w:r>
          </w:p>
        </w:tc>
      </w:tr>
      <w:tr w:rsidR="00957B9F" w:rsidRPr="00957B9F" w:rsidTr="00957B9F">
        <w:trPr>
          <w:cantSplit/>
          <w:trHeight w:val="515"/>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Сопло находится под напряжением</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Образовался "мостик" из брызг между наконечником и соплом</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Снять сопло и зачистить от брызг</w:t>
            </w:r>
          </w:p>
        </w:tc>
      </w:tr>
      <w:tr w:rsidR="00957B9F" w:rsidRPr="00957B9F" w:rsidTr="00957B9F">
        <w:trPr>
          <w:cantSplit/>
          <w:trHeight w:val="173"/>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Износилась изолирующая шайба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3"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шайбу</w:t>
            </w:r>
          </w:p>
        </w:tc>
      </w:tr>
      <w:tr w:rsidR="00957B9F" w:rsidRPr="00957B9F" w:rsidTr="00957B9F">
        <w:trPr>
          <w:cantSplit/>
          <w:trHeight w:val="215"/>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При включении кнопки "Пуск" не включается контактор и не работает двигатель подачи проволоки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включен пульт управления</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Включить</w:t>
            </w:r>
          </w:p>
        </w:tc>
      </w:tr>
      <w:tr w:rsidR="00957B9F" w:rsidRPr="00957B9F" w:rsidTr="00957B9F">
        <w:trPr>
          <w:cantSplit/>
          <w:trHeight w:val="215"/>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 включен источник сварочного тока</w:t>
            </w:r>
          </w:p>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Обрыв в цепи кнопки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Включить</w:t>
            </w:r>
          </w:p>
        </w:tc>
      </w:tr>
      <w:tr w:rsidR="00957B9F" w:rsidRPr="00957B9F" w:rsidTr="00957B9F">
        <w:trPr>
          <w:cantSplit/>
          <w:trHeight w:val="215"/>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Неисправность контакта кнопки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15"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Устранить обрыв</w:t>
            </w:r>
          </w:p>
        </w:tc>
      </w:tr>
      <w:tr w:rsidR="00957B9F" w:rsidRPr="00957B9F" w:rsidTr="00957B9F">
        <w:trPr>
          <w:cantSplit/>
          <w:trHeight w:val="551"/>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Вышли из строя выпрямители в аппаратном ящике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и устранить неисправность</w:t>
            </w:r>
          </w:p>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Исправить выпрямители</w:t>
            </w:r>
          </w:p>
        </w:tc>
      </w:tr>
      <w:tr w:rsidR="00957B9F" w:rsidRPr="00957B9F" w:rsidTr="00957B9F">
        <w:trPr>
          <w:cantSplit/>
          <w:trHeight w:val="174"/>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 процессе сварки наблюдается быстрое обгорание электрода с увеличением длины дуги до обрыва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Большой вылет электрода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Уменьшить вылет электрода</w:t>
            </w:r>
          </w:p>
        </w:tc>
      </w:tr>
      <w:tr w:rsidR="00957B9F" w:rsidRPr="00957B9F" w:rsidTr="00957B9F">
        <w:trPr>
          <w:cantSplit/>
          <w:trHeight w:val="174"/>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Нарушение контакта в наконечнике, так как изношен внутренний канал наконечника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Заменить наконечник</w:t>
            </w:r>
          </w:p>
        </w:tc>
      </w:tr>
      <w:tr w:rsidR="00957B9F" w:rsidRPr="00957B9F" w:rsidTr="00957B9F">
        <w:trPr>
          <w:cantSplit/>
          <w:trHeight w:val="174"/>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Высокое напряжение холостого хода источника питания</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7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Уменьшить напряжение холостого хода</w:t>
            </w:r>
          </w:p>
        </w:tc>
      </w:tr>
      <w:tr w:rsidR="00957B9F" w:rsidRPr="00957B9F" w:rsidTr="00957B9F">
        <w:trPr>
          <w:cantSplit/>
          <w:trHeight w:val="134"/>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Малая скорость подачи электродной проволоки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134"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Увеличить скорость подачи проволоки</w:t>
            </w:r>
          </w:p>
        </w:tc>
      </w:tr>
      <w:tr w:rsidR="00957B9F" w:rsidRPr="00957B9F" w:rsidTr="00957B9F">
        <w:trPr>
          <w:cantSplit/>
          <w:trHeight w:val="569"/>
        </w:trPr>
        <w:tc>
          <w:tcPr>
            <w:tcW w:w="0" w:type="auto"/>
            <w:vMerge w:val="restar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Пористость в металле шва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Плохая подготовка металла к сварке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Зачистить основной металл от ржавчины, грязи, масла</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Плохая очистка электродной проволоки от ржавчины и масла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Зачистить электродную проволоку</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Пониженный расход газа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Установить необходимый расход</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Слишком удалено сопло от зоны сварки, в результате чего нарушается защита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Приблизить сопло к свариваемому изделию</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Забрызгано газовое сопло</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Зачистить сопло</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Повышенная влажность углекислого газа из-за плохой работы осушителя</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и исправить осушитель и при необходимости заменить силикагель</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Повышенная влажность углекислого газа в баллоне</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Осторожно перевернуть баллон горловиной вниз, дать отстояться, открыть вентиль и слить воду</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Повышенное напряжение дуги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Уменьшить напряжение дуги соответственно режиму сварки</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Несоответствие марки проволоки</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химический состав проволоки</w:t>
            </w:r>
          </w:p>
        </w:tc>
      </w:tr>
      <w:tr w:rsidR="00957B9F" w:rsidRPr="00957B9F" w:rsidTr="00957B9F">
        <w:trPr>
          <w:cantSplit/>
          <w:trHeight w:val="56"/>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Нарушение в шланге подачи газа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56" w:lineRule="atLeast"/>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Проверить исправность шланга</w:t>
            </w:r>
          </w:p>
        </w:tc>
      </w:tr>
      <w:tr w:rsidR="00957B9F" w:rsidRPr="00957B9F" w:rsidTr="00957B9F">
        <w:trPr>
          <w:cantSplit/>
          <w:trHeight w:val="481"/>
        </w:trPr>
        <w:tc>
          <w:tcPr>
            <w:tcW w:w="0" w:type="auto"/>
            <w:vMerge/>
            <w:tcBorders>
              <w:top w:val="nil"/>
              <w:left w:val="single" w:sz="8" w:space="0" w:color="auto"/>
              <w:bottom w:val="single" w:sz="8" w:space="0" w:color="auto"/>
              <w:right w:val="single" w:sz="8" w:space="0" w:color="auto"/>
            </w:tcBorders>
            <w:vAlign w:val="center"/>
            <w:hideMark/>
          </w:tcPr>
          <w:p w:rsidR="00957B9F" w:rsidRPr="00957B9F" w:rsidRDefault="00957B9F" w:rsidP="00957B9F">
            <w:pPr>
              <w:spacing w:after="0" w:line="240" w:lineRule="auto"/>
              <w:rPr>
                <w:rFonts w:ascii="Times New Roman" w:eastAsia="Times New Roman" w:hAnsi="Times New Roman" w:cs="Times New Roman"/>
                <w:color w:val="555555"/>
                <w:sz w:val="24"/>
                <w:szCs w:val="24"/>
              </w:rPr>
            </w:pP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Скопление воздуха в верхней части баллона</w:t>
            </w:r>
          </w:p>
        </w:tc>
        <w:tc>
          <w:tcPr>
            <w:tcW w:w="0" w:type="auto"/>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rsidR="00957B9F" w:rsidRPr="00957B9F" w:rsidRDefault="00957B9F" w:rsidP="00957B9F">
            <w:pPr>
              <w:spacing w:after="0" w:line="240" w:lineRule="auto"/>
              <w:ind w:firstLine="336"/>
              <w:rPr>
                <w:rFonts w:ascii="Times New Roman" w:eastAsia="Times New Roman" w:hAnsi="Times New Roman" w:cs="Times New Roman"/>
                <w:color w:val="555555"/>
                <w:sz w:val="24"/>
                <w:szCs w:val="24"/>
              </w:rPr>
            </w:pPr>
            <w:r w:rsidRPr="00957B9F">
              <w:rPr>
                <w:rFonts w:ascii="Times New Roman" w:eastAsia="Times New Roman" w:hAnsi="Times New Roman" w:cs="Times New Roman"/>
                <w:color w:val="555555"/>
                <w:sz w:val="24"/>
                <w:szCs w:val="24"/>
              </w:rPr>
              <w:t>Выпустить воздух из баллона</w:t>
            </w:r>
          </w:p>
        </w:tc>
      </w:tr>
    </w:tbl>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Times New Roman" w:eastAsia="Times New Roman" w:hAnsi="Times New Roman" w:cs="Times New Roman"/>
          <w:color w:val="444444"/>
          <w:sz w:val="17"/>
          <w:szCs w:val="17"/>
        </w:rPr>
      </w:pP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ЛИТЕРАТУРА</w:t>
      </w:r>
    </w:p>
    <w:p w:rsidR="00957B9F" w:rsidRPr="00957B9F" w:rsidRDefault="00957B9F" w:rsidP="00957B9F">
      <w:pPr>
        <w:spacing w:after="0" w:line="240" w:lineRule="auto"/>
        <w:jc w:val="center"/>
        <w:rPr>
          <w:rFonts w:ascii="Times New Roman" w:eastAsia="Times New Roman" w:hAnsi="Times New Roman" w:cs="Times New Roman"/>
          <w:color w:val="555555"/>
          <w:sz w:val="17"/>
          <w:szCs w:val="17"/>
        </w:rPr>
      </w:pPr>
      <w:r w:rsidRPr="00957B9F">
        <w:rPr>
          <w:rFonts w:ascii="Times New Roman" w:eastAsia="Times New Roman" w:hAnsi="Times New Roman" w:cs="Times New Roman"/>
          <w:b/>
          <w:bCs/>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    Новожилов Н.М. Основы металлургии дуговой сварки в газах. - М.: Машиностроение, 1979. -231с.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2.    Потаньевский А.Г. Сварка в защитных газах плавящимся электродом. -М.; Машиностроения, 1974. -240с.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3.    Сварка в смеси активных газов / Аснис А.Е., Гутман Л.М., Покладий В.Р., Юзкив Я.М. - Киев: Наук. думка, 1982. -216с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4.    Коган Ю.А. Автоматы и полуавтоматы для дуговой сварки плавящимся электродом в среде защитных газов» -Л: Энергия, 1976, -148с.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5. Справочник по сварочному оборудованию. Прох Л.Ц., Шпаков Б.М., Яворская Н.М.-Киев; Техника, 1978.-152с.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6. 'Руководящие технические материалы по сварке, термообработки и контролю трубных систем котлов и трубопроводов при монтаже и ремонте оборудования тепловых электростанций (РТМ 10-81) /Минэнерго CCCP.-М.: Энергоиздат, 1982.-208с.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7. Ульянов В.И., Дяченко А.С. Проволока марки Св-07ГС для сварки сталей в CO2.-Автомат.сварка, 1982, №2, с.51-54.</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8. Лосицкий Н.Т., Бережницкий С,Н., Красильников В.К. Ударная вязкость сварных швов, пыполненных в среде углекислого газа и смесях защитных газов.-Химическое и нефтяное машиностроение, 1977, № 2, с. 22.</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9.  Создать и освоить производство проволоки сплошного сечения для сварки в защитных газах хладостойких и теплоустойчивых сталей и выдать рекомендации по ее производству. Отчет ВНИИПТхимнефтеаппаратуры Руководитель работы С.И.Бережницкий. – Тема № 1159-76-25. Волгоград; 1979. -109с.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10. ОСТ 26-01-82-77. Сварка в химическом и нефтяном машиностроении. Основные</w:t>
      </w:r>
      <w:r w:rsidRPr="00957B9F">
        <w:rPr>
          <w:rFonts w:ascii="Times New Roman" w:eastAsia="Times New Roman" w:hAnsi="Times New Roman" w:cs="Times New Roman"/>
          <w:color w:val="555555"/>
          <w:sz w:val="17"/>
        </w:rPr>
        <w:t> </w:t>
      </w:r>
      <w:r w:rsidRPr="00957B9F">
        <w:rPr>
          <w:rFonts w:ascii="Times New Roman" w:eastAsia="Times New Roman" w:hAnsi="Times New Roman" w:cs="Times New Roman"/>
          <w:color w:val="555555"/>
          <w:sz w:val="17"/>
          <w:szCs w:val="17"/>
        </w:rPr>
        <w:t>положения и технология.</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11. РТМ 26-245-77. Полуавтоматическая сварка нефтехимической аппаратуры из углеродистых и низколегированных сталей в защитных газах. -Волгоград, ВНИИПТхимнефтеаппаратуры. -1978, -46с.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12. Потапьевский А.Г. Сварка в углекислом газе. -М.: Машиностроение, 1984. -80с.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13. РД 26-17-049-85. 0рганизация хранения, подготовки и контроля сварочных материалов. -Волгоград, ВНИИПТхимнефтеаппаратуры. -1985.-40с.</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ind w:firstLine="336"/>
        <w:rPr>
          <w:rFonts w:ascii="Times New Roman" w:eastAsia="Times New Roman" w:hAnsi="Times New Roman" w:cs="Times New Roman"/>
          <w:color w:val="555555"/>
          <w:sz w:val="17"/>
          <w:szCs w:val="17"/>
        </w:rPr>
      </w:pPr>
      <w:r w:rsidRPr="00957B9F">
        <w:rPr>
          <w:rFonts w:ascii="Times New Roman" w:eastAsia="Times New Roman" w:hAnsi="Times New Roman" w:cs="Times New Roman"/>
          <w:color w:val="555555"/>
          <w:sz w:val="17"/>
          <w:szCs w:val="17"/>
        </w:rPr>
        <w:t> </w:t>
      </w:r>
    </w:p>
    <w:p w:rsidR="00957B9F" w:rsidRPr="00957B9F" w:rsidRDefault="00957B9F" w:rsidP="00957B9F">
      <w:pPr>
        <w:spacing w:after="0" w:line="240" w:lineRule="auto"/>
        <w:rPr>
          <w:rFonts w:ascii="Arial" w:eastAsia="Times New Roman" w:hAnsi="Arial" w:cs="Arial"/>
          <w:color w:val="000000"/>
          <w:sz w:val="20"/>
          <w:szCs w:val="20"/>
        </w:rPr>
      </w:pPr>
      <w:r w:rsidRPr="00957B9F">
        <w:rPr>
          <w:rFonts w:ascii="Arial" w:eastAsia="Times New Roman" w:hAnsi="Arial" w:cs="Arial"/>
          <w:color w:val="000000"/>
          <w:sz w:val="20"/>
          <w:szCs w:val="20"/>
        </w:rPr>
        <w:t> </w:t>
      </w:r>
    </w:p>
    <w:p w:rsidR="00BC7A95" w:rsidRDefault="00BC7A95"/>
    <w:sectPr w:rsidR="00BC7A9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defaultTabStop w:val="708"/>
  <w:characterSpacingControl w:val="doNotCompress"/>
  <w:compat>
    <w:useFELayout/>
  </w:compat>
  <w:rsids>
    <w:rsidRoot w:val="00957B9F"/>
    <w:rsid w:val="00957B9F"/>
    <w:rsid w:val="00BC7A9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957B9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57B9F"/>
    <w:rPr>
      <w:rFonts w:ascii="Times New Roman" w:eastAsia="Times New Roman" w:hAnsi="Times New Roman" w:cs="Times New Roman"/>
      <w:b/>
      <w:bCs/>
      <w:sz w:val="36"/>
      <w:szCs w:val="36"/>
    </w:rPr>
  </w:style>
  <w:style w:type="paragraph" w:styleId="a3">
    <w:name w:val="Normal (Web)"/>
    <w:basedOn w:val="a"/>
    <w:uiPriority w:val="99"/>
    <w:unhideWhenUsed/>
    <w:rsid w:val="00957B9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957B9F"/>
  </w:style>
  <w:style w:type="character" w:styleId="a4">
    <w:name w:val="Hyperlink"/>
    <w:basedOn w:val="a0"/>
    <w:uiPriority w:val="99"/>
    <w:semiHidden/>
    <w:unhideWhenUsed/>
    <w:rsid w:val="00957B9F"/>
    <w:rPr>
      <w:color w:val="0000FF"/>
      <w:u w:val="single"/>
    </w:rPr>
  </w:style>
  <w:style w:type="character" w:styleId="a5">
    <w:name w:val="FollowedHyperlink"/>
    <w:basedOn w:val="a0"/>
    <w:uiPriority w:val="99"/>
    <w:semiHidden/>
    <w:unhideWhenUsed/>
    <w:rsid w:val="00957B9F"/>
    <w:rPr>
      <w:color w:val="800080"/>
      <w:u w:val="single"/>
    </w:rPr>
  </w:style>
</w:styles>
</file>

<file path=word/webSettings.xml><?xml version="1.0" encoding="utf-8"?>
<w:webSettings xmlns:r="http://schemas.openxmlformats.org/officeDocument/2006/relationships" xmlns:w="http://schemas.openxmlformats.org/wordprocessingml/2006/main">
  <w:divs>
    <w:div w:id="1826555784">
      <w:bodyDiv w:val="1"/>
      <w:marLeft w:val="0"/>
      <w:marRight w:val="0"/>
      <w:marTop w:val="0"/>
      <w:marBottom w:val="0"/>
      <w:divBdr>
        <w:top w:val="none" w:sz="0" w:space="0" w:color="auto"/>
        <w:left w:val="none" w:sz="0" w:space="0" w:color="auto"/>
        <w:bottom w:val="none" w:sz="0" w:space="0" w:color="auto"/>
        <w:right w:val="none" w:sz="0" w:space="0" w:color="auto"/>
      </w:divBdr>
      <w:divsChild>
        <w:div w:id="1394039634">
          <w:marLeft w:val="255"/>
          <w:marRight w:val="127"/>
          <w:marTop w:val="255"/>
          <w:marBottom w:val="0"/>
          <w:divBdr>
            <w:top w:val="none" w:sz="0" w:space="0" w:color="auto"/>
            <w:left w:val="none" w:sz="0" w:space="0" w:color="auto"/>
            <w:bottom w:val="none" w:sz="0" w:space="0" w:color="auto"/>
            <w:right w:val="none" w:sz="0" w:space="0" w:color="auto"/>
          </w:divBdr>
          <w:divsChild>
            <w:div w:id="715399073">
              <w:marLeft w:val="0"/>
              <w:marRight w:val="0"/>
              <w:marTop w:val="0"/>
              <w:marBottom w:val="0"/>
              <w:divBdr>
                <w:top w:val="none" w:sz="0" w:space="0" w:color="auto"/>
                <w:left w:val="none" w:sz="0" w:space="0" w:color="auto"/>
                <w:bottom w:val="none" w:sz="0" w:space="0" w:color="auto"/>
                <w:right w:val="none" w:sz="0" w:space="0" w:color="auto"/>
              </w:divBdr>
            </w:div>
            <w:div w:id="1683429839">
              <w:marLeft w:val="0"/>
              <w:marRight w:val="0"/>
              <w:marTop w:val="0"/>
              <w:marBottom w:val="0"/>
              <w:divBdr>
                <w:top w:val="none" w:sz="0" w:space="0" w:color="auto"/>
                <w:left w:val="none" w:sz="0" w:space="0" w:color="auto"/>
                <w:bottom w:val="none" w:sz="0" w:space="0" w:color="auto"/>
                <w:right w:val="none" w:sz="0" w:space="0" w:color="auto"/>
              </w:divBdr>
              <w:divsChild>
                <w:div w:id="2094155329">
                  <w:marLeft w:val="0"/>
                  <w:marRight w:val="0"/>
                  <w:marTop w:val="0"/>
                  <w:marBottom w:val="0"/>
                  <w:divBdr>
                    <w:top w:val="none" w:sz="0" w:space="0" w:color="auto"/>
                    <w:left w:val="none" w:sz="0" w:space="0" w:color="auto"/>
                    <w:bottom w:val="none" w:sz="0" w:space="0" w:color="auto"/>
                    <w:right w:val="none" w:sz="0" w:space="0" w:color="auto"/>
                  </w:divBdr>
                </w:div>
                <w:div w:id="1459059226">
                  <w:marLeft w:val="0"/>
                  <w:marRight w:val="0"/>
                  <w:marTop w:val="0"/>
                  <w:marBottom w:val="0"/>
                  <w:divBdr>
                    <w:top w:val="none" w:sz="0" w:space="0" w:color="auto"/>
                    <w:left w:val="none" w:sz="0" w:space="0" w:color="auto"/>
                    <w:bottom w:val="none" w:sz="0" w:space="0" w:color="auto"/>
                    <w:right w:val="none" w:sz="0" w:space="0" w:color="auto"/>
                  </w:divBdr>
                </w:div>
              </w:divsChild>
            </w:div>
            <w:div w:id="195890249">
              <w:marLeft w:val="0"/>
              <w:marRight w:val="0"/>
              <w:marTop w:val="0"/>
              <w:marBottom w:val="0"/>
              <w:divBdr>
                <w:top w:val="none" w:sz="0" w:space="0" w:color="auto"/>
                <w:left w:val="none" w:sz="0" w:space="0" w:color="auto"/>
                <w:bottom w:val="none" w:sz="0" w:space="0" w:color="auto"/>
                <w:right w:val="none" w:sz="0" w:space="0" w:color="auto"/>
              </w:divBdr>
              <w:divsChild>
                <w:div w:id="426847286">
                  <w:marLeft w:val="0"/>
                  <w:marRight w:val="0"/>
                  <w:marTop w:val="0"/>
                  <w:marBottom w:val="0"/>
                  <w:divBdr>
                    <w:top w:val="none" w:sz="0" w:space="0" w:color="auto"/>
                    <w:left w:val="none" w:sz="0" w:space="0" w:color="auto"/>
                    <w:bottom w:val="none" w:sz="0" w:space="0" w:color="auto"/>
                    <w:right w:val="none" w:sz="0" w:space="0" w:color="auto"/>
                  </w:divBdr>
                </w:div>
                <w:div w:id="788549854">
                  <w:marLeft w:val="0"/>
                  <w:marRight w:val="0"/>
                  <w:marTop w:val="0"/>
                  <w:marBottom w:val="0"/>
                  <w:divBdr>
                    <w:top w:val="none" w:sz="0" w:space="0" w:color="auto"/>
                    <w:left w:val="none" w:sz="0" w:space="0" w:color="auto"/>
                    <w:bottom w:val="none" w:sz="0" w:space="0" w:color="auto"/>
                    <w:right w:val="none" w:sz="0" w:space="0" w:color="auto"/>
                  </w:divBdr>
                </w:div>
                <w:div w:id="1688553527">
                  <w:marLeft w:val="0"/>
                  <w:marRight w:val="0"/>
                  <w:marTop w:val="0"/>
                  <w:marBottom w:val="0"/>
                  <w:divBdr>
                    <w:top w:val="none" w:sz="0" w:space="0" w:color="auto"/>
                    <w:left w:val="none" w:sz="0" w:space="0" w:color="auto"/>
                    <w:bottom w:val="none" w:sz="0" w:space="0" w:color="auto"/>
                    <w:right w:val="none" w:sz="0" w:space="0" w:color="auto"/>
                  </w:divBdr>
                </w:div>
                <w:div w:id="2100322765">
                  <w:marLeft w:val="0"/>
                  <w:marRight w:val="0"/>
                  <w:marTop w:val="0"/>
                  <w:marBottom w:val="0"/>
                  <w:divBdr>
                    <w:top w:val="none" w:sz="0" w:space="0" w:color="auto"/>
                    <w:left w:val="none" w:sz="0" w:space="0" w:color="auto"/>
                    <w:bottom w:val="none" w:sz="0" w:space="0" w:color="auto"/>
                    <w:right w:val="none" w:sz="0" w:space="0" w:color="auto"/>
                  </w:divBdr>
                </w:div>
              </w:divsChild>
            </w:div>
            <w:div w:id="1628656335">
              <w:marLeft w:val="0"/>
              <w:marRight w:val="0"/>
              <w:marTop w:val="0"/>
              <w:marBottom w:val="0"/>
              <w:divBdr>
                <w:top w:val="none" w:sz="0" w:space="0" w:color="auto"/>
                <w:left w:val="none" w:sz="0" w:space="0" w:color="auto"/>
                <w:bottom w:val="none" w:sz="0" w:space="0" w:color="auto"/>
                <w:right w:val="none" w:sz="0" w:space="0" w:color="auto"/>
              </w:divBdr>
            </w:div>
            <w:div w:id="214852861">
              <w:marLeft w:val="0"/>
              <w:marRight w:val="0"/>
              <w:marTop w:val="0"/>
              <w:marBottom w:val="0"/>
              <w:divBdr>
                <w:top w:val="none" w:sz="0" w:space="0" w:color="auto"/>
                <w:left w:val="none" w:sz="0" w:space="0" w:color="auto"/>
                <w:bottom w:val="none" w:sz="0" w:space="0" w:color="auto"/>
                <w:right w:val="none" w:sz="0" w:space="0" w:color="auto"/>
              </w:divBdr>
              <w:divsChild>
                <w:div w:id="1570144098">
                  <w:marLeft w:val="0"/>
                  <w:marRight w:val="0"/>
                  <w:marTop w:val="0"/>
                  <w:marBottom w:val="0"/>
                  <w:divBdr>
                    <w:top w:val="none" w:sz="0" w:space="0" w:color="auto"/>
                    <w:left w:val="none" w:sz="0" w:space="0" w:color="auto"/>
                    <w:bottom w:val="none" w:sz="0" w:space="0" w:color="auto"/>
                    <w:right w:val="none" w:sz="0" w:space="0" w:color="auto"/>
                  </w:divBdr>
                </w:div>
              </w:divsChild>
            </w:div>
            <w:div w:id="1614364797">
              <w:marLeft w:val="0"/>
              <w:marRight w:val="0"/>
              <w:marTop w:val="0"/>
              <w:marBottom w:val="0"/>
              <w:divBdr>
                <w:top w:val="none" w:sz="0" w:space="0" w:color="auto"/>
                <w:left w:val="none" w:sz="0" w:space="0" w:color="auto"/>
                <w:bottom w:val="none" w:sz="0" w:space="0" w:color="auto"/>
                <w:right w:val="none" w:sz="0" w:space="0" w:color="auto"/>
              </w:divBdr>
              <w:divsChild>
                <w:div w:id="1409501022">
                  <w:marLeft w:val="0"/>
                  <w:marRight w:val="0"/>
                  <w:marTop w:val="0"/>
                  <w:marBottom w:val="0"/>
                  <w:divBdr>
                    <w:top w:val="none" w:sz="0" w:space="0" w:color="auto"/>
                    <w:left w:val="none" w:sz="0" w:space="0" w:color="auto"/>
                    <w:bottom w:val="none" w:sz="0" w:space="0" w:color="auto"/>
                    <w:right w:val="none" w:sz="0" w:space="0" w:color="auto"/>
                  </w:divBdr>
                </w:div>
                <w:div w:id="2038116731">
                  <w:marLeft w:val="0"/>
                  <w:marRight w:val="0"/>
                  <w:marTop w:val="0"/>
                  <w:marBottom w:val="0"/>
                  <w:divBdr>
                    <w:top w:val="none" w:sz="0" w:space="0" w:color="auto"/>
                    <w:left w:val="none" w:sz="0" w:space="0" w:color="auto"/>
                    <w:bottom w:val="none" w:sz="0" w:space="0" w:color="auto"/>
                    <w:right w:val="none" w:sz="0" w:space="0" w:color="auto"/>
                  </w:divBdr>
                </w:div>
              </w:divsChild>
            </w:div>
            <w:div w:id="2144496503">
              <w:marLeft w:val="0"/>
              <w:marRight w:val="0"/>
              <w:marTop w:val="0"/>
              <w:marBottom w:val="0"/>
              <w:divBdr>
                <w:top w:val="none" w:sz="0" w:space="0" w:color="auto"/>
                <w:left w:val="none" w:sz="0" w:space="0" w:color="auto"/>
                <w:bottom w:val="none" w:sz="0" w:space="0" w:color="auto"/>
                <w:right w:val="none" w:sz="0" w:space="0" w:color="auto"/>
              </w:divBdr>
              <w:divsChild>
                <w:div w:id="233899519">
                  <w:marLeft w:val="0"/>
                  <w:marRight w:val="0"/>
                  <w:marTop w:val="0"/>
                  <w:marBottom w:val="0"/>
                  <w:divBdr>
                    <w:top w:val="none" w:sz="0" w:space="0" w:color="auto"/>
                    <w:left w:val="none" w:sz="0" w:space="0" w:color="auto"/>
                    <w:bottom w:val="none" w:sz="0" w:space="0" w:color="auto"/>
                    <w:right w:val="none" w:sz="0" w:space="0" w:color="auto"/>
                  </w:divBdr>
                </w:div>
              </w:divsChild>
            </w:div>
            <w:div w:id="912936885">
              <w:marLeft w:val="0"/>
              <w:marRight w:val="0"/>
              <w:marTop w:val="0"/>
              <w:marBottom w:val="0"/>
              <w:divBdr>
                <w:top w:val="none" w:sz="0" w:space="0" w:color="auto"/>
                <w:left w:val="none" w:sz="0" w:space="0" w:color="auto"/>
                <w:bottom w:val="none" w:sz="0" w:space="0" w:color="auto"/>
                <w:right w:val="none" w:sz="0" w:space="0" w:color="auto"/>
              </w:divBdr>
              <w:divsChild>
                <w:div w:id="1463229957">
                  <w:marLeft w:val="0"/>
                  <w:marRight w:val="0"/>
                  <w:marTop w:val="0"/>
                  <w:marBottom w:val="0"/>
                  <w:divBdr>
                    <w:top w:val="none" w:sz="0" w:space="0" w:color="auto"/>
                    <w:left w:val="none" w:sz="0" w:space="0" w:color="auto"/>
                    <w:bottom w:val="none" w:sz="0" w:space="0" w:color="auto"/>
                    <w:right w:val="none" w:sz="0" w:space="0" w:color="auto"/>
                  </w:divBdr>
                </w:div>
              </w:divsChild>
            </w:div>
            <w:div w:id="2021543709">
              <w:marLeft w:val="0"/>
              <w:marRight w:val="0"/>
              <w:marTop w:val="0"/>
              <w:marBottom w:val="0"/>
              <w:divBdr>
                <w:top w:val="none" w:sz="0" w:space="0" w:color="auto"/>
                <w:left w:val="none" w:sz="0" w:space="0" w:color="auto"/>
                <w:bottom w:val="none" w:sz="0" w:space="0" w:color="auto"/>
                <w:right w:val="none" w:sz="0" w:space="0" w:color="auto"/>
              </w:divBdr>
              <w:divsChild>
                <w:div w:id="1620256197">
                  <w:marLeft w:val="0"/>
                  <w:marRight w:val="0"/>
                  <w:marTop w:val="0"/>
                  <w:marBottom w:val="0"/>
                  <w:divBdr>
                    <w:top w:val="none" w:sz="0" w:space="0" w:color="auto"/>
                    <w:left w:val="none" w:sz="0" w:space="0" w:color="auto"/>
                    <w:bottom w:val="none" w:sz="0" w:space="0" w:color="auto"/>
                    <w:right w:val="none" w:sz="0" w:space="0" w:color="auto"/>
                  </w:divBdr>
                </w:div>
              </w:divsChild>
            </w:div>
            <w:div w:id="1911425111">
              <w:marLeft w:val="0"/>
              <w:marRight w:val="0"/>
              <w:marTop w:val="0"/>
              <w:marBottom w:val="0"/>
              <w:divBdr>
                <w:top w:val="none" w:sz="0" w:space="0" w:color="auto"/>
                <w:left w:val="none" w:sz="0" w:space="0" w:color="auto"/>
                <w:bottom w:val="none" w:sz="0" w:space="0" w:color="auto"/>
                <w:right w:val="none" w:sz="0" w:space="0" w:color="auto"/>
              </w:divBdr>
              <w:divsChild>
                <w:div w:id="465396979">
                  <w:marLeft w:val="0"/>
                  <w:marRight w:val="0"/>
                  <w:marTop w:val="0"/>
                  <w:marBottom w:val="0"/>
                  <w:divBdr>
                    <w:top w:val="none" w:sz="0" w:space="0" w:color="auto"/>
                    <w:left w:val="none" w:sz="0" w:space="0" w:color="auto"/>
                    <w:bottom w:val="none" w:sz="0" w:space="0" w:color="auto"/>
                    <w:right w:val="none" w:sz="0" w:space="0" w:color="auto"/>
                  </w:divBdr>
                </w:div>
              </w:divsChild>
            </w:div>
            <w:div w:id="1265266143">
              <w:marLeft w:val="0"/>
              <w:marRight w:val="0"/>
              <w:marTop w:val="0"/>
              <w:marBottom w:val="0"/>
              <w:divBdr>
                <w:top w:val="none" w:sz="0" w:space="0" w:color="auto"/>
                <w:left w:val="none" w:sz="0" w:space="0" w:color="auto"/>
                <w:bottom w:val="none" w:sz="0" w:space="0" w:color="auto"/>
                <w:right w:val="none" w:sz="0" w:space="0" w:color="auto"/>
              </w:divBdr>
              <w:divsChild>
                <w:div w:id="1956017956">
                  <w:marLeft w:val="0"/>
                  <w:marRight w:val="0"/>
                  <w:marTop w:val="0"/>
                  <w:marBottom w:val="0"/>
                  <w:divBdr>
                    <w:top w:val="none" w:sz="0" w:space="0" w:color="auto"/>
                    <w:left w:val="none" w:sz="0" w:space="0" w:color="auto"/>
                    <w:bottom w:val="none" w:sz="0" w:space="0" w:color="auto"/>
                    <w:right w:val="none" w:sz="0" w:space="0" w:color="auto"/>
                  </w:divBdr>
                </w:div>
              </w:divsChild>
            </w:div>
            <w:div w:id="66270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gif"/><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hyperlink" Target="http://stroyka-ip.ru/"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10116</Words>
  <Characters>57666</Characters>
  <Application>Microsoft Office Word</Application>
  <DocSecurity>0</DocSecurity>
  <Lines>480</Lines>
  <Paragraphs>135</Paragraphs>
  <ScaleCrop>false</ScaleCrop>
  <Company>SamForum.ws</Company>
  <LinksUpToDate>false</LinksUpToDate>
  <CharactersWithSpaces>67647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SamLab.ws</dc:creator>
  <cp:keywords/>
  <dc:description/>
  <cp:lastModifiedBy>SamLab.ws</cp:lastModifiedBy>
  <cp:revision>2</cp:revision>
  <dcterms:created xsi:type="dcterms:W3CDTF">2013-10-23T05:45:00Z</dcterms:created>
  <dcterms:modified xsi:type="dcterms:W3CDTF">2013-10-23T05:45:00Z</dcterms:modified>
</cp:coreProperties>
</file>